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22CB" w:rsidRDefault="00B722CB">
      <w:pPr>
        <w:pStyle w:val="BodyText"/>
        <w:ind w:left="0"/>
        <w:rPr>
          <w:rFonts w:ascii="Times New Roman"/>
          <w:sz w:val="40"/>
        </w:rPr>
      </w:pPr>
    </w:p>
    <w:p w:rsidR="00B722CB" w:rsidRDefault="00B722CB">
      <w:pPr>
        <w:pStyle w:val="BodyText"/>
        <w:spacing w:before="119"/>
        <w:ind w:left="0"/>
        <w:rPr>
          <w:rFonts w:ascii="Times New Roman"/>
          <w:sz w:val="40"/>
        </w:rPr>
      </w:pPr>
    </w:p>
    <w:p w:rsidR="00B722CB" w:rsidRDefault="00000000">
      <w:pPr>
        <w:spacing w:line="254" w:lineRule="auto"/>
        <w:ind w:left="460" w:right="5767"/>
        <w:rPr>
          <w:b/>
          <w:sz w:val="40"/>
        </w:rPr>
      </w:pPr>
      <w:r>
        <w:rPr>
          <w:noProof/>
        </w:rPr>
        <mc:AlternateContent>
          <mc:Choice Requires="wps">
            <w:drawing>
              <wp:anchor distT="0" distB="0" distL="0" distR="0" simplePos="0" relativeHeight="15729152" behindDoc="0" locked="0" layoutInCell="1" allowOverlap="1">
                <wp:simplePos x="0" y="0"/>
                <wp:positionH relativeFrom="page">
                  <wp:posOffset>5093995</wp:posOffset>
                </wp:positionH>
                <wp:positionV relativeFrom="paragraph">
                  <wp:posOffset>-671018</wp:posOffset>
                </wp:positionV>
                <wp:extent cx="2124710" cy="1872614"/>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4710" cy="1872614"/>
                          <a:chOff x="0" y="0"/>
                          <a:chExt cx="2124710" cy="1872614"/>
                        </a:xfrm>
                      </wpg:grpSpPr>
                      <wps:wsp>
                        <wps:cNvPr id="2" name="Graphic 2"/>
                        <wps:cNvSpPr/>
                        <wps:spPr>
                          <a:xfrm>
                            <a:off x="0" y="0"/>
                            <a:ext cx="2124710" cy="1872614"/>
                          </a:xfrm>
                          <a:custGeom>
                            <a:avLst/>
                            <a:gdLst/>
                            <a:ahLst/>
                            <a:cxnLst/>
                            <a:rect l="l" t="t" r="r" b="b"/>
                            <a:pathLst>
                              <a:path w="2124710" h="1872614">
                                <a:moveTo>
                                  <a:pt x="1749352" y="0"/>
                                </a:moveTo>
                                <a:lnTo>
                                  <a:pt x="374976" y="0"/>
                                </a:lnTo>
                                <a:lnTo>
                                  <a:pt x="343809" y="27434"/>
                                </a:lnTo>
                                <a:lnTo>
                                  <a:pt x="311102" y="58782"/>
                                </a:lnTo>
                                <a:lnTo>
                                  <a:pt x="279753" y="91488"/>
                                </a:lnTo>
                                <a:lnTo>
                                  <a:pt x="249809" y="125506"/>
                                </a:lnTo>
                                <a:lnTo>
                                  <a:pt x="221316" y="160787"/>
                                </a:lnTo>
                                <a:lnTo>
                                  <a:pt x="194322" y="197286"/>
                                </a:lnTo>
                                <a:lnTo>
                                  <a:pt x="168873" y="234955"/>
                                </a:lnTo>
                                <a:lnTo>
                                  <a:pt x="145017" y="273748"/>
                                </a:lnTo>
                                <a:lnTo>
                                  <a:pt x="122800" y="313618"/>
                                </a:lnTo>
                                <a:lnTo>
                                  <a:pt x="102269" y="354517"/>
                                </a:lnTo>
                                <a:lnTo>
                                  <a:pt x="83470" y="396399"/>
                                </a:lnTo>
                                <a:lnTo>
                                  <a:pt x="66452" y="439218"/>
                                </a:lnTo>
                                <a:lnTo>
                                  <a:pt x="51260" y="482925"/>
                                </a:lnTo>
                                <a:lnTo>
                                  <a:pt x="37941" y="527475"/>
                                </a:lnTo>
                                <a:lnTo>
                                  <a:pt x="26543" y="572820"/>
                                </a:lnTo>
                                <a:lnTo>
                                  <a:pt x="17113" y="618914"/>
                                </a:lnTo>
                                <a:lnTo>
                                  <a:pt x="9696" y="665710"/>
                                </a:lnTo>
                                <a:lnTo>
                                  <a:pt x="4340" y="713160"/>
                                </a:lnTo>
                                <a:lnTo>
                                  <a:pt x="1093" y="761218"/>
                                </a:lnTo>
                                <a:lnTo>
                                  <a:pt x="0" y="809838"/>
                                </a:lnTo>
                                <a:lnTo>
                                  <a:pt x="1093" y="858457"/>
                                </a:lnTo>
                                <a:lnTo>
                                  <a:pt x="4340" y="906516"/>
                                </a:lnTo>
                                <a:lnTo>
                                  <a:pt x="9696" y="953966"/>
                                </a:lnTo>
                                <a:lnTo>
                                  <a:pt x="17113" y="1000762"/>
                                </a:lnTo>
                                <a:lnTo>
                                  <a:pt x="26543" y="1046856"/>
                                </a:lnTo>
                                <a:lnTo>
                                  <a:pt x="37941" y="1092202"/>
                                </a:lnTo>
                                <a:lnTo>
                                  <a:pt x="51260" y="1136752"/>
                                </a:lnTo>
                                <a:lnTo>
                                  <a:pt x="66452" y="1180460"/>
                                </a:lnTo>
                                <a:lnTo>
                                  <a:pt x="83470" y="1223278"/>
                                </a:lnTo>
                                <a:lnTo>
                                  <a:pt x="102269" y="1265161"/>
                                </a:lnTo>
                                <a:lnTo>
                                  <a:pt x="122800" y="1306061"/>
                                </a:lnTo>
                                <a:lnTo>
                                  <a:pt x="145017" y="1345931"/>
                                </a:lnTo>
                                <a:lnTo>
                                  <a:pt x="168873" y="1384724"/>
                                </a:lnTo>
                                <a:lnTo>
                                  <a:pt x="194322" y="1422394"/>
                                </a:lnTo>
                                <a:lnTo>
                                  <a:pt x="221316" y="1458893"/>
                                </a:lnTo>
                                <a:lnTo>
                                  <a:pt x="249809" y="1494175"/>
                                </a:lnTo>
                                <a:lnTo>
                                  <a:pt x="279753" y="1528193"/>
                                </a:lnTo>
                                <a:lnTo>
                                  <a:pt x="311102" y="1560900"/>
                                </a:lnTo>
                                <a:lnTo>
                                  <a:pt x="343809" y="1592249"/>
                                </a:lnTo>
                                <a:lnTo>
                                  <a:pt x="377827" y="1622193"/>
                                </a:lnTo>
                                <a:lnTo>
                                  <a:pt x="413109" y="1650686"/>
                                </a:lnTo>
                                <a:lnTo>
                                  <a:pt x="449608" y="1677680"/>
                                </a:lnTo>
                                <a:lnTo>
                                  <a:pt x="487278" y="1703128"/>
                                </a:lnTo>
                                <a:lnTo>
                                  <a:pt x="526071" y="1726985"/>
                                </a:lnTo>
                                <a:lnTo>
                                  <a:pt x="565941" y="1749202"/>
                                </a:lnTo>
                                <a:lnTo>
                                  <a:pt x="606841" y="1769733"/>
                                </a:lnTo>
                                <a:lnTo>
                                  <a:pt x="648723" y="1788532"/>
                                </a:lnTo>
                                <a:lnTo>
                                  <a:pt x="691542" y="1805550"/>
                                </a:lnTo>
                                <a:lnTo>
                                  <a:pt x="735250" y="1820742"/>
                                </a:lnTo>
                                <a:lnTo>
                                  <a:pt x="779800" y="1834061"/>
                                </a:lnTo>
                                <a:lnTo>
                                  <a:pt x="825146" y="1845459"/>
                                </a:lnTo>
                                <a:lnTo>
                                  <a:pt x="871240" y="1854889"/>
                                </a:lnTo>
                                <a:lnTo>
                                  <a:pt x="918035" y="1862306"/>
                                </a:lnTo>
                                <a:lnTo>
                                  <a:pt x="965486" y="1867662"/>
                                </a:lnTo>
                                <a:lnTo>
                                  <a:pt x="1013544" y="1870909"/>
                                </a:lnTo>
                                <a:lnTo>
                                  <a:pt x="1062164" y="1872002"/>
                                </a:lnTo>
                                <a:lnTo>
                                  <a:pt x="1110784" y="1870909"/>
                                </a:lnTo>
                                <a:lnTo>
                                  <a:pt x="1158842" y="1867662"/>
                                </a:lnTo>
                                <a:lnTo>
                                  <a:pt x="1206293" y="1862306"/>
                                </a:lnTo>
                                <a:lnTo>
                                  <a:pt x="1253088" y="1854889"/>
                                </a:lnTo>
                                <a:lnTo>
                                  <a:pt x="1299182" y="1845459"/>
                                </a:lnTo>
                                <a:lnTo>
                                  <a:pt x="1344528" y="1834061"/>
                                </a:lnTo>
                                <a:lnTo>
                                  <a:pt x="1389078" y="1820742"/>
                                </a:lnTo>
                                <a:lnTo>
                                  <a:pt x="1432786" y="1805550"/>
                                </a:lnTo>
                                <a:lnTo>
                                  <a:pt x="1475605" y="1788532"/>
                                </a:lnTo>
                                <a:lnTo>
                                  <a:pt x="1517487" y="1769733"/>
                                </a:lnTo>
                                <a:lnTo>
                                  <a:pt x="1558387" y="1749202"/>
                                </a:lnTo>
                                <a:lnTo>
                                  <a:pt x="1598257" y="1726985"/>
                                </a:lnTo>
                                <a:lnTo>
                                  <a:pt x="1637050" y="1703128"/>
                                </a:lnTo>
                                <a:lnTo>
                                  <a:pt x="1674720" y="1677680"/>
                                </a:lnTo>
                                <a:lnTo>
                                  <a:pt x="1711219" y="1650686"/>
                                </a:lnTo>
                                <a:lnTo>
                                  <a:pt x="1746501" y="1622193"/>
                                </a:lnTo>
                                <a:lnTo>
                                  <a:pt x="1780519" y="1592249"/>
                                </a:lnTo>
                                <a:lnTo>
                                  <a:pt x="1813226" y="1560900"/>
                                </a:lnTo>
                                <a:lnTo>
                                  <a:pt x="1844575" y="1528193"/>
                                </a:lnTo>
                                <a:lnTo>
                                  <a:pt x="1874519" y="1494175"/>
                                </a:lnTo>
                                <a:lnTo>
                                  <a:pt x="1903012" y="1458893"/>
                                </a:lnTo>
                                <a:lnTo>
                                  <a:pt x="1930006" y="1422394"/>
                                </a:lnTo>
                                <a:lnTo>
                                  <a:pt x="1955455" y="1384724"/>
                                </a:lnTo>
                                <a:lnTo>
                                  <a:pt x="1979311" y="1345931"/>
                                </a:lnTo>
                                <a:lnTo>
                                  <a:pt x="2001528" y="1306061"/>
                                </a:lnTo>
                                <a:lnTo>
                                  <a:pt x="2022059" y="1265161"/>
                                </a:lnTo>
                                <a:lnTo>
                                  <a:pt x="2040858" y="1223278"/>
                                </a:lnTo>
                                <a:lnTo>
                                  <a:pt x="2057876" y="1180460"/>
                                </a:lnTo>
                                <a:lnTo>
                                  <a:pt x="2073068" y="1136752"/>
                                </a:lnTo>
                                <a:lnTo>
                                  <a:pt x="2086387" y="1092202"/>
                                </a:lnTo>
                                <a:lnTo>
                                  <a:pt x="2097785" y="1046856"/>
                                </a:lnTo>
                                <a:lnTo>
                                  <a:pt x="2107215" y="1000762"/>
                                </a:lnTo>
                                <a:lnTo>
                                  <a:pt x="2114632" y="953966"/>
                                </a:lnTo>
                                <a:lnTo>
                                  <a:pt x="2119988" y="906516"/>
                                </a:lnTo>
                                <a:lnTo>
                                  <a:pt x="2123235" y="858457"/>
                                </a:lnTo>
                                <a:lnTo>
                                  <a:pt x="2124329" y="809838"/>
                                </a:lnTo>
                                <a:lnTo>
                                  <a:pt x="2123235" y="761218"/>
                                </a:lnTo>
                                <a:lnTo>
                                  <a:pt x="2119988" y="713160"/>
                                </a:lnTo>
                                <a:lnTo>
                                  <a:pt x="2114632" y="665710"/>
                                </a:lnTo>
                                <a:lnTo>
                                  <a:pt x="2107215" y="618914"/>
                                </a:lnTo>
                                <a:lnTo>
                                  <a:pt x="2097785" y="572820"/>
                                </a:lnTo>
                                <a:lnTo>
                                  <a:pt x="2086387" y="527475"/>
                                </a:lnTo>
                                <a:lnTo>
                                  <a:pt x="2073068" y="482925"/>
                                </a:lnTo>
                                <a:lnTo>
                                  <a:pt x="2057876" y="439218"/>
                                </a:lnTo>
                                <a:lnTo>
                                  <a:pt x="2040858" y="396399"/>
                                </a:lnTo>
                                <a:lnTo>
                                  <a:pt x="2022059" y="354517"/>
                                </a:lnTo>
                                <a:lnTo>
                                  <a:pt x="2001528" y="313618"/>
                                </a:lnTo>
                                <a:lnTo>
                                  <a:pt x="1979311" y="273748"/>
                                </a:lnTo>
                                <a:lnTo>
                                  <a:pt x="1955455" y="234955"/>
                                </a:lnTo>
                                <a:lnTo>
                                  <a:pt x="1930006" y="197286"/>
                                </a:lnTo>
                                <a:lnTo>
                                  <a:pt x="1903012" y="160787"/>
                                </a:lnTo>
                                <a:lnTo>
                                  <a:pt x="1874519" y="125506"/>
                                </a:lnTo>
                                <a:lnTo>
                                  <a:pt x="1844575" y="91488"/>
                                </a:lnTo>
                                <a:lnTo>
                                  <a:pt x="1813226" y="58782"/>
                                </a:lnTo>
                                <a:lnTo>
                                  <a:pt x="1780519" y="27434"/>
                                </a:lnTo>
                                <a:lnTo>
                                  <a:pt x="1749352" y="0"/>
                                </a:lnTo>
                                <a:close/>
                              </a:path>
                            </a:pathLst>
                          </a:custGeom>
                          <a:solidFill>
                            <a:srgbClr val="00AEEF"/>
                          </a:solidFill>
                        </wps:spPr>
                        <wps:bodyPr wrap="square" lIns="0" tIns="0" rIns="0" bIns="0" rtlCol="0">
                          <a:prstTxWarp prst="textNoShape">
                            <a:avLst/>
                          </a:prstTxWarp>
                          <a:noAutofit/>
                        </wps:bodyPr>
                      </wps:wsp>
                      <wps:wsp>
                        <wps:cNvPr id="3" name="Graphic 3"/>
                        <wps:cNvSpPr/>
                        <wps:spPr>
                          <a:xfrm>
                            <a:off x="240589" y="243318"/>
                            <a:ext cx="1650364" cy="702310"/>
                          </a:xfrm>
                          <a:custGeom>
                            <a:avLst/>
                            <a:gdLst/>
                            <a:ahLst/>
                            <a:cxnLst/>
                            <a:rect l="l" t="t" r="r" b="b"/>
                            <a:pathLst>
                              <a:path w="1650364" h="702310">
                                <a:moveTo>
                                  <a:pt x="145948" y="528891"/>
                                </a:moveTo>
                                <a:lnTo>
                                  <a:pt x="144487" y="514070"/>
                                </a:lnTo>
                                <a:lnTo>
                                  <a:pt x="140296" y="500786"/>
                                </a:lnTo>
                                <a:lnTo>
                                  <a:pt x="133667" y="489280"/>
                                </a:lnTo>
                                <a:lnTo>
                                  <a:pt x="129108" y="484339"/>
                                </a:lnTo>
                                <a:lnTo>
                                  <a:pt x="124904" y="479780"/>
                                </a:lnTo>
                                <a:lnTo>
                                  <a:pt x="115074" y="472935"/>
                                </a:lnTo>
                                <a:lnTo>
                                  <a:pt x="115074" y="530644"/>
                                </a:lnTo>
                                <a:lnTo>
                                  <a:pt x="110998" y="552107"/>
                                </a:lnTo>
                                <a:lnTo>
                                  <a:pt x="99237" y="567842"/>
                                </a:lnTo>
                                <a:lnTo>
                                  <a:pt x="80581" y="577519"/>
                                </a:lnTo>
                                <a:lnTo>
                                  <a:pt x="55778" y="580821"/>
                                </a:lnTo>
                                <a:lnTo>
                                  <a:pt x="45605" y="580821"/>
                                </a:lnTo>
                                <a:lnTo>
                                  <a:pt x="37185" y="580110"/>
                                </a:lnTo>
                                <a:lnTo>
                                  <a:pt x="30518" y="578358"/>
                                </a:lnTo>
                                <a:lnTo>
                                  <a:pt x="30518" y="486791"/>
                                </a:lnTo>
                                <a:lnTo>
                                  <a:pt x="35369" y="485825"/>
                                </a:lnTo>
                                <a:lnTo>
                                  <a:pt x="41884" y="485038"/>
                                </a:lnTo>
                                <a:lnTo>
                                  <a:pt x="49911" y="484530"/>
                                </a:lnTo>
                                <a:lnTo>
                                  <a:pt x="59296" y="484339"/>
                                </a:lnTo>
                                <a:lnTo>
                                  <a:pt x="82219" y="487184"/>
                                </a:lnTo>
                                <a:lnTo>
                                  <a:pt x="99822" y="495782"/>
                                </a:lnTo>
                                <a:lnTo>
                                  <a:pt x="111099" y="510247"/>
                                </a:lnTo>
                                <a:lnTo>
                                  <a:pt x="115074" y="530644"/>
                                </a:lnTo>
                                <a:lnTo>
                                  <a:pt x="115074" y="472935"/>
                                </a:lnTo>
                                <a:lnTo>
                                  <a:pt x="112864" y="471385"/>
                                </a:lnTo>
                                <a:lnTo>
                                  <a:pt x="97802" y="465226"/>
                                </a:lnTo>
                                <a:lnTo>
                                  <a:pt x="79705" y="461429"/>
                                </a:lnTo>
                                <a:lnTo>
                                  <a:pt x="58585" y="460133"/>
                                </a:lnTo>
                                <a:lnTo>
                                  <a:pt x="41148" y="460502"/>
                                </a:lnTo>
                                <a:lnTo>
                                  <a:pt x="25615" y="461530"/>
                                </a:lnTo>
                                <a:lnTo>
                                  <a:pt x="11912" y="463092"/>
                                </a:lnTo>
                                <a:lnTo>
                                  <a:pt x="0" y="465035"/>
                                </a:lnTo>
                                <a:lnTo>
                                  <a:pt x="0" y="698347"/>
                                </a:lnTo>
                                <a:lnTo>
                                  <a:pt x="30518" y="698347"/>
                                </a:lnTo>
                                <a:lnTo>
                                  <a:pt x="30518" y="603275"/>
                                </a:lnTo>
                                <a:lnTo>
                                  <a:pt x="37541" y="605028"/>
                                </a:lnTo>
                                <a:lnTo>
                                  <a:pt x="45961" y="605370"/>
                                </a:lnTo>
                                <a:lnTo>
                                  <a:pt x="55079" y="605370"/>
                                </a:lnTo>
                                <a:lnTo>
                                  <a:pt x="96342" y="598843"/>
                                </a:lnTo>
                                <a:lnTo>
                                  <a:pt x="135445" y="569353"/>
                                </a:lnTo>
                                <a:lnTo>
                                  <a:pt x="144767" y="544093"/>
                                </a:lnTo>
                                <a:lnTo>
                                  <a:pt x="145948" y="528891"/>
                                </a:lnTo>
                                <a:close/>
                              </a:path>
                              <a:path w="1650364" h="702310">
                                <a:moveTo>
                                  <a:pt x="340664" y="698347"/>
                                </a:moveTo>
                                <a:lnTo>
                                  <a:pt x="337032" y="689000"/>
                                </a:lnTo>
                                <a:lnTo>
                                  <a:pt x="332905" y="674839"/>
                                </a:lnTo>
                                <a:lnTo>
                                  <a:pt x="328180" y="656209"/>
                                </a:lnTo>
                                <a:lnTo>
                                  <a:pt x="322770" y="633437"/>
                                </a:lnTo>
                                <a:lnTo>
                                  <a:pt x="317347" y="616521"/>
                                </a:lnTo>
                                <a:lnTo>
                                  <a:pt x="309880" y="602754"/>
                                </a:lnTo>
                                <a:lnTo>
                                  <a:pt x="303453" y="595896"/>
                                </a:lnTo>
                                <a:lnTo>
                                  <a:pt x="300177" y="592391"/>
                                </a:lnTo>
                                <a:lnTo>
                                  <a:pt x="288036" y="585724"/>
                                </a:lnTo>
                                <a:lnTo>
                                  <a:pt x="288036" y="584669"/>
                                </a:lnTo>
                                <a:lnTo>
                                  <a:pt x="305358" y="576084"/>
                                </a:lnTo>
                                <a:lnTo>
                                  <a:pt x="309003" y="572744"/>
                                </a:lnTo>
                                <a:lnTo>
                                  <a:pt x="319519" y="563105"/>
                                </a:lnTo>
                                <a:lnTo>
                                  <a:pt x="329082" y="545909"/>
                                </a:lnTo>
                                <a:lnTo>
                                  <a:pt x="332587" y="524687"/>
                                </a:lnTo>
                                <a:lnTo>
                                  <a:pt x="331317" y="511251"/>
                                </a:lnTo>
                                <a:lnTo>
                                  <a:pt x="301713" y="471157"/>
                                </a:lnTo>
                                <a:lnTo>
                                  <a:pt x="301713" y="527837"/>
                                </a:lnTo>
                                <a:lnTo>
                                  <a:pt x="297967" y="546252"/>
                                </a:lnTo>
                                <a:lnTo>
                                  <a:pt x="287286" y="560425"/>
                                </a:lnTo>
                                <a:lnTo>
                                  <a:pt x="270484" y="569531"/>
                                </a:lnTo>
                                <a:lnTo>
                                  <a:pt x="248386" y="572744"/>
                                </a:lnTo>
                                <a:lnTo>
                                  <a:pt x="217170" y="572744"/>
                                </a:lnTo>
                                <a:lnTo>
                                  <a:pt x="217170" y="486791"/>
                                </a:lnTo>
                                <a:lnTo>
                                  <a:pt x="222034" y="485762"/>
                                </a:lnTo>
                                <a:lnTo>
                                  <a:pt x="228701" y="484860"/>
                                </a:lnTo>
                                <a:lnTo>
                                  <a:pt x="237147" y="484225"/>
                                </a:lnTo>
                                <a:lnTo>
                                  <a:pt x="247345" y="483984"/>
                                </a:lnTo>
                                <a:lnTo>
                                  <a:pt x="269455" y="486549"/>
                                </a:lnTo>
                                <a:lnTo>
                                  <a:pt x="286626" y="494474"/>
                                </a:lnTo>
                                <a:lnTo>
                                  <a:pt x="297764" y="508114"/>
                                </a:lnTo>
                                <a:lnTo>
                                  <a:pt x="301713" y="527837"/>
                                </a:lnTo>
                                <a:lnTo>
                                  <a:pt x="301713" y="471157"/>
                                </a:lnTo>
                                <a:lnTo>
                                  <a:pt x="286321" y="464959"/>
                                </a:lnTo>
                                <a:lnTo>
                                  <a:pt x="267677" y="461327"/>
                                </a:lnTo>
                                <a:lnTo>
                                  <a:pt x="245237" y="460133"/>
                                </a:lnTo>
                                <a:lnTo>
                                  <a:pt x="229527" y="460514"/>
                                </a:lnTo>
                                <a:lnTo>
                                  <a:pt x="213969" y="461581"/>
                                </a:lnTo>
                                <a:lnTo>
                                  <a:pt x="199402" y="463232"/>
                                </a:lnTo>
                                <a:lnTo>
                                  <a:pt x="186639" y="465391"/>
                                </a:lnTo>
                                <a:lnTo>
                                  <a:pt x="186639" y="698347"/>
                                </a:lnTo>
                                <a:lnTo>
                                  <a:pt x="217170" y="698347"/>
                                </a:lnTo>
                                <a:lnTo>
                                  <a:pt x="217170" y="595896"/>
                                </a:lnTo>
                                <a:lnTo>
                                  <a:pt x="245935" y="595896"/>
                                </a:lnTo>
                                <a:lnTo>
                                  <a:pt x="287134" y="621068"/>
                                </a:lnTo>
                                <a:lnTo>
                                  <a:pt x="298183" y="662139"/>
                                </a:lnTo>
                                <a:lnTo>
                                  <a:pt x="302285" y="678522"/>
                                </a:lnTo>
                                <a:lnTo>
                                  <a:pt x="305943" y="690702"/>
                                </a:lnTo>
                                <a:lnTo>
                                  <a:pt x="309092" y="698347"/>
                                </a:lnTo>
                                <a:lnTo>
                                  <a:pt x="340664" y="698347"/>
                                </a:lnTo>
                                <a:close/>
                              </a:path>
                              <a:path w="1650364" h="702310">
                                <a:moveTo>
                                  <a:pt x="557123" y="698347"/>
                                </a:moveTo>
                                <a:lnTo>
                                  <a:pt x="531736" y="623963"/>
                                </a:lnTo>
                                <a:lnTo>
                                  <a:pt x="523595" y="600113"/>
                                </a:lnTo>
                                <a:lnTo>
                                  <a:pt x="492925" y="510235"/>
                                </a:lnTo>
                                <a:lnTo>
                                  <a:pt x="492925" y="600113"/>
                                </a:lnTo>
                                <a:lnTo>
                                  <a:pt x="421703" y="600113"/>
                                </a:lnTo>
                                <a:lnTo>
                                  <a:pt x="444855" y="531698"/>
                                </a:lnTo>
                                <a:lnTo>
                                  <a:pt x="448183" y="520725"/>
                                </a:lnTo>
                                <a:lnTo>
                                  <a:pt x="451231" y="509816"/>
                                </a:lnTo>
                                <a:lnTo>
                                  <a:pt x="453961" y="499237"/>
                                </a:lnTo>
                                <a:lnTo>
                                  <a:pt x="456438" y="488899"/>
                                </a:lnTo>
                                <a:lnTo>
                                  <a:pt x="457479" y="488899"/>
                                </a:lnTo>
                                <a:lnTo>
                                  <a:pt x="469417" y="532053"/>
                                </a:lnTo>
                                <a:lnTo>
                                  <a:pt x="492925" y="600113"/>
                                </a:lnTo>
                                <a:lnTo>
                                  <a:pt x="492925" y="510235"/>
                                </a:lnTo>
                                <a:lnTo>
                                  <a:pt x="485648" y="488899"/>
                                </a:lnTo>
                                <a:lnTo>
                                  <a:pt x="476427" y="461886"/>
                                </a:lnTo>
                                <a:lnTo>
                                  <a:pt x="439597" y="461886"/>
                                </a:lnTo>
                                <a:lnTo>
                                  <a:pt x="359257" y="698347"/>
                                </a:lnTo>
                                <a:lnTo>
                                  <a:pt x="390829" y="698347"/>
                                </a:lnTo>
                                <a:lnTo>
                                  <a:pt x="415378" y="623963"/>
                                </a:lnTo>
                                <a:lnTo>
                                  <a:pt x="499237" y="623963"/>
                                </a:lnTo>
                                <a:lnTo>
                                  <a:pt x="524497" y="698347"/>
                                </a:lnTo>
                                <a:lnTo>
                                  <a:pt x="557123" y="698347"/>
                                </a:lnTo>
                                <a:close/>
                              </a:path>
                              <a:path w="1650364" h="702310">
                                <a:moveTo>
                                  <a:pt x="666254" y="136372"/>
                                </a:moveTo>
                                <a:lnTo>
                                  <a:pt x="551776" y="136372"/>
                                </a:lnTo>
                                <a:lnTo>
                                  <a:pt x="551776" y="190652"/>
                                </a:lnTo>
                                <a:lnTo>
                                  <a:pt x="599211" y="190652"/>
                                </a:lnTo>
                                <a:lnTo>
                                  <a:pt x="599211" y="255409"/>
                                </a:lnTo>
                                <a:lnTo>
                                  <a:pt x="593813" y="257022"/>
                                </a:lnTo>
                                <a:lnTo>
                                  <a:pt x="586092" y="258318"/>
                                </a:lnTo>
                                <a:lnTo>
                                  <a:pt x="576503" y="259194"/>
                                </a:lnTo>
                                <a:lnTo>
                                  <a:pt x="565454" y="259511"/>
                                </a:lnTo>
                                <a:lnTo>
                                  <a:pt x="526224" y="252742"/>
                                </a:lnTo>
                                <a:lnTo>
                                  <a:pt x="495503" y="233070"/>
                                </a:lnTo>
                                <a:lnTo>
                                  <a:pt x="475475" y="201409"/>
                                </a:lnTo>
                                <a:lnTo>
                                  <a:pt x="468312" y="158724"/>
                                </a:lnTo>
                                <a:lnTo>
                                  <a:pt x="476123" y="115100"/>
                                </a:lnTo>
                                <a:lnTo>
                                  <a:pt x="497674" y="84035"/>
                                </a:lnTo>
                                <a:lnTo>
                                  <a:pt x="530072" y="65468"/>
                                </a:lnTo>
                                <a:lnTo>
                                  <a:pt x="570471" y="59296"/>
                                </a:lnTo>
                                <a:lnTo>
                                  <a:pt x="593458" y="60274"/>
                                </a:lnTo>
                                <a:lnTo>
                                  <a:pt x="612381" y="63004"/>
                                </a:lnTo>
                                <a:lnTo>
                                  <a:pt x="628142" y="67183"/>
                                </a:lnTo>
                                <a:lnTo>
                                  <a:pt x="641629" y="72517"/>
                                </a:lnTo>
                                <a:lnTo>
                                  <a:pt x="645071" y="59296"/>
                                </a:lnTo>
                                <a:lnTo>
                                  <a:pt x="656221" y="16421"/>
                                </a:lnTo>
                                <a:lnTo>
                                  <a:pt x="598881" y="3149"/>
                                </a:lnTo>
                                <a:lnTo>
                                  <a:pt x="570928" y="1828"/>
                                </a:lnTo>
                                <a:lnTo>
                                  <a:pt x="522960" y="6629"/>
                                </a:lnTo>
                                <a:lnTo>
                                  <a:pt x="480707" y="20751"/>
                                </a:lnTo>
                                <a:lnTo>
                                  <a:pt x="445516" y="43789"/>
                                </a:lnTo>
                                <a:lnTo>
                                  <a:pt x="418668" y="75349"/>
                                </a:lnTo>
                                <a:lnTo>
                                  <a:pt x="401510" y="115011"/>
                                </a:lnTo>
                                <a:lnTo>
                                  <a:pt x="395338" y="162369"/>
                                </a:lnTo>
                                <a:lnTo>
                                  <a:pt x="398195" y="195173"/>
                                </a:lnTo>
                                <a:lnTo>
                                  <a:pt x="420166" y="252031"/>
                                </a:lnTo>
                                <a:lnTo>
                                  <a:pt x="462229" y="292341"/>
                                </a:lnTo>
                                <a:lnTo>
                                  <a:pt x="524421" y="312991"/>
                                </a:lnTo>
                                <a:lnTo>
                                  <a:pt x="563638" y="315620"/>
                                </a:lnTo>
                                <a:lnTo>
                                  <a:pt x="593775" y="313944"/>
                                </a:lnTo>
                                <a:lnTo>
                                  <a:pt x="622134" y="309702"/>
                                </a:lnTo>
                                <a:lnTo>
                                  <a:pt x="646887" y="304076"/>
                                </a:lnTo>
                                <a:lnTo>
                                  <a:pt x="666254" y="298284"/>
                                </a:lnTo>
                                <a:lnTo>
                                  <a:pt x="666254" y="259511"/>
                                </a:lnTo>
                                <a:lnTo>
                                  <a:pt x="666254" y="136372"/>
                                </a:lnTo>
                                <a:close/>
                              </a:path>
                              <a:path w="1650364" h="702310">
                                <a:moveTo>
                                  <a:pt x="752195" y="468553"/>
                                </a:moveTo>
                                <a:lnTo>
                                  <a:pt x="744105" y="465340"/>
                                </a:lnTo>
                                <a:lnTo>
                                  <a:pt x="732015" y="462013"/>
                                </a:lnTo>
                                <a:lnTo>
                                  <a:pt x="715975" y="459422"/>
                                </a:lnTo>
                                <a:lnTo>
                                  <a:pt x="696048" y="458368"/>
                                </a:lnTo>
                                <a:lnTo>
                                  <a:pt x="645820" y="467309"/>
                                </a:lnTo>
                                <a:lnTo>
                                  <a:pt x="606806" y="492531"/>
                                </a:lnTo>
                                <a:lnTo>
                                  <a:pt x="581545" y="531634"/>
                                </a:lnTo>
                                <a:lnTo>
                                  <a:pt x="572554" y="582218"/>
                                </a:lnTo>
                                <a:lnTo>
                                  <a:pt x="581380" y="633628"/>
                                </a:lnTo>
                                <a:lnTo>
                                  <a:pt x="605802" y="671118"/>
                                </a:lnTo>
                                <a:lnTo>
                                  <a:pt x="642721" y="694067"/>
                                </a:lnTo>
                                <a:lnTo>
                                  <a:pt x="689038" y="701852"/>
                                </a:lnTo>
                                <a:lnTo>
                                  <a:pt x="709409" y="700887"/>
                                </a:lnTo>
                                <a:lnTo>
                                  <a:pt x="751484" y="690626"/>
                                </a:lnTo>
                                <a:lnTo>
                                  <a:pt x="735177" y="670115"/>
                                </a:lnTo>
                                <a:lnTo>
                                  <a:pt x="722934" y="673214"/>
                                </a:lnTo>
                                <a:lnTo>
                                  <a:pt x="709460" y="675195"/>
                                </a:lnTo>
                                <a:lnTo>
                                  <a:pt x="695350" y="675894"/>
                                </a:lnTo>
                                <a:lnTo>
                                  <a:pt x="657085" y="669239"/>
                                </a:lnTo>
                                <a:lnTo>
                                  <a:pt x="628650" y="650240"/>
                                </a:lnTo>
                                <a:lnTo>
                                  <a:pt x="610933" y="620395"/>
                                </a:lnTo>
                                <a:lnTo>
                                  <a:pt x="604837" y="581164"/>
                                </a:lnTo>
                                <a:lnTo>
                                  <a:pt x="611466" y="539927"/>
                                </a:lnTo>
                                <a:lnTo>
                                  <a:pt x="630186" y="509422"/>
                                </a:lnTo>
                                <a:lnTo>
                                  <a:pt x="659307" y="490486"/>
                                </a:lnTo>
                                <a:lnTo>
                                  <a:pt x="697103" y="483984"/>
                                </a:lnTo>
                                <a:lnTo>
                                  <a:pt x="711212" y="484733"/>
                                </a:lnTo>
                                <a:lnTo>
                                  <a:pt x="723950" y="486791"/>
                                </a:lnTo>
                                <a:lnTo>
                                  <a:pt x="735101" y="489915"/>
                                </a:lnTo>
                                <a:lnTo>
                                  <a:pt x="744474" y="493814"/>
                                </a:lnTo>
                                <a:lnTo>
                                  <a:pt x="747483" y="483984"/>
                                </a:lnTo>
                                <a:lnTo>
                                  <a:pt x="752195" y="468553"/>
                                </a:lnTo>
                                <a:close/>
                              </a:path>
                              <a:path w="1650364" h="702310">
                                <a:moveTo>
                                  <a:pt x="947953" y="461886"/>
                                </a:moveTo>
                                <a:lnTo>
                                  <a:pt x="772883" y="461886"/>
                                </a:lnTo>
                                <a:lnTo>
                                  <a:pt x="772883" y="487845"/>
                                </a:lnTo>
                                <a:lnTo>
                                  <a:pt x="844804" y="487845"/>
                                </a:lnTo>
                                <a:lnTo>
                                  <a:pt x="844804" y="698347"/>
                                </a:lnTo>
                                <a:lnTo>
                                  <a:pt x="875677" y="698347"/>
                                </a:lnTo>
                                <a:lnTo>
                                  <a:pt x="875677" y="487845"/>
                                </a:lnTo>
                                <a:lnTo>
                                  <a:pt x="947953" y="487845"/>
                                </a:lnTo>
                                <a:lnTo>
                                  <a:pt x="947953" y="461886"/>
                                </a:lnTo>
                                <a:close/>
                              </a:path>
                              <a:path w="1650364" h="702310">
                                <a:moveTo>
                                  <a:pt x="1001928" y="155524"/>
                                </a:moveTo>
                                <a:lnTo>
                                  <a:pt x="995807" y="106781"/>
                                </a:lnTo>
                                <a:lnTo>
                                  <a:pt x="977747" y="64135"/>
                                </a:lnTo>
                                <a:lnTo>
                                  <a:pt x="969911" y="55194"/>
                                </a:lnTo>
                                <a:lnTo>
                                  <a:pt x="948143" y="30314"/>
                                </a:lnTo>
                                <a:lnTo>
                                  <a:pt x="928497" y="19570"/>
                                </a:lnTo>
                                <a:lnTo>
                                  <a:pt x="928497" y="157810"/>
                                </a:lnTo>
                                <a:lnTo>
                                  <a:pt x="923556" y="199529"/>
                                </a:lnTo>
                                <a:lnTo>
                                  <a:pt x="909180" y="232613"/>
                                </a:lnTo>
                                <a:lnTo>
                                  <a:pt x="885977" y="254406"/>
                                </a:lnTo>
                                <a:lnTo>
                                  <a:pt x="854621" y="262255"/>
                                </a:lnTo>
                                <a:lnTo>
                                  <a:pt x="854163" y="262255"/>
                                </a:lnTo>
                                <a:lnTo>
                                  <a:pt x="822921" y="254304"/>
                                </a:lnTo>
                                <a:lnTo>
                                  <a:pt x="799541" y="232448"/>
                                </a:lnTo>
                                <a:lnTo>
                                  <a:pt x="784898" y="199732"/>
                                </a:lnTo>
                                <a:lnTo>
                                  <a:pt x="779818" y="159181"/>
                                </a:lnTo>
                                <a:lnTo>
                                  <a:pt x="784771" y="118694"/>
                                </a:lnTo>
                                <a:lnTo>
                                  <a:pt x="799261" y="85648"/>
                                </a:lnTo>
                                <a:lnTo>
                                  <a:pt x="822731" y="63360"/>
                                </a:lnTo>
                                <a:lnTo>
                                  <a:pt x="854621" y="55194"/>
                                </a:lnTo>
                                <a:lnTo>
                                  <a:pt x="886358" y="63474"/>
                                </a:lnTo>
                                <a:lnTo>
                                  <a:pt x="909510" y="85813"/>
                                </a:lnTo>
                                <a:lnTo>
                                  <a:pt x="923683" y="118491"/>
                                </a:lnTo>
                                <a:lnTo>
                                  <a:pt x="928497" y="157810"/>
                                </a:lnTo>
                                <a:lnTo>
                                  <a:pt x="928497" y="19570"/>
                                </a:lnTo>
                                <a:lnTo>
                                  <a:pt x="907415" y="8039"/>
                                </a:lnTo>
                                <a:lnTo>
                                  <a:pt x="855980" y="0"/>
                                </a:lnTo>
                                <a:lnTo>
                                  <a:pt x="805751" y="7899"/>
                                </a:lnTo>
                                <a:lnTo>
                                  <a:pt x="764311" y="30149"/>
                                </a:lnTo>
                                <a:lnTo>
                                  <a:pt x="733044" y="64528"/>
                                </a:lnTo>
                                <a:lnTo>
                                  <a:pt x="713270" y="108877"/>
                                </a:lnTo>
                                <a:lnTo>
                                  <a:pt x="706386" y="160997"/>
                                </a:lnTo>
                                <a:lnTo>
                                  <a:pt x="712711" y="210896"/>
                                </a:lnTo>
                                <a:lnTo>
                                  <a:pt x="731139" y="253898"/>
                                </a:lnTo>
                                <a:lnTo>
                                  <a:pt x="760869" y="287591"/>
                                </a:lnTo>
                                <a:lnTo>
                                  <a:pt x="801077" y="309575"/>
                                </a:lnTo>
                                <a:lnTo>
                                  <a:pt x="850963" y="317436"/>
                                </a:lnTo>
                                <a:lnTo>
                                  <a:pt x="851420" y="317436"/>
                                </a:lnTo>
                                <a:lnTo>
                                  <a:pt x="901573" y="310324"/>
                                </a:lnTo>
                                <a:lnTo>
                                  <a:pt x="943216" y="289610"/>
                                </a:lnTo>
                                <a:lnTo>
                                  <a:pt x="974826" y="256260"/>
                                </a:lnTo>
                                <a:lnTo>
                                  <a:pt x="994905" y="211251"/>
                                </a:lnTo>
                                <a:lnTo>
                                  <a:pt x="1001928" y="155524"/>
                                </a:lnTo>
                                <a:close/>
                              </a:path>
                              <a:path w="1650364" h="702310">
                                <a:moveTo>
                                  <a:pt x="1004785" y="461886"/>
                                </a:moveTo>
                                <a:lnTo>
                                  <a:pt x="973912" y="461886"/>
                                </a:lnTo>
                                <a:lnTo>
                                  <a:pt x="973912" y="698347"/>
                                </a:lnTo>
                                <a:lnTo>
                                  <a:pt x="1004785" y="698347"/>
                                </a:lnTo>
                                <a:lnTo>
                                  <a:pt x="1004785" y="461886"/>
                                </a:lnTo>
                                <a:close/>
                              </a:path>
                              <a:path w="1650364" h="702310">
                                <a:moveTo>
                                  <a:pt x="1223708" y="468553"/>
                                </a:moveTo>
                                <a:lnTo>
                                  <a:pt x="1215631" y="465340"/>
                                </a:lnTo>
                                <a:lnTo>
                                  <a:pt x="1203540" y="462013"/>
                                </a:lnTo>
                                <a:lnTo>
                                  <a:pt x="1187500" y="459422"/>
                                </a:lnTo>
                                <a:lnTo>
                                  <a:pt x="1167574" y="458368"/>
                                </a:lnTo>
                                <a:lnTo>
                                  <a:pt x="1117346" y="467309"/>
                                </a:lnTo>
                                <a:lnTo>
                                  <a:pt x="1078331" y="492531"/>
                                </a:lnTo>
                                <a:lnTo>
                                  <a:pt x="1053071" y="531634"/>
                                </a:lnTo>
                                <a:lnTo>
                                  <a:pt x="1044079" y="582218"/>
                                </a:lnTo>
                                <a:lnTo>
                                  <a:pt x="1052906" y="633628"/>
                                </a:lnTo>
                                <a:lnTo>
                                  <a:pt x="1077328" y="671118"/>
                                </a:lnTo>
                                <a:lnTo>
                                  <a:pt x="1114234" y="694067"/>
                                </a:lnTo>
                                <a:lnTo>
                                  <a:pt x="1160551" y="701852"/>
                                </a:lnTo>
                                <a:lnTo>
                                  <a:pt x="1180922" y="700887"/>
                                </a:lnTo>
                                <a:lnTo>
                                  <a:pt x="1198486" y="698347"/>
                                </a:lnTo>
                                <a:lnTo>
                                  <a:pt x="1212710" y="694753"/>
                                </a:lnTo>
                                <a:lnTo>
                                  <a:pt x="1223010" y="690626"/>
                                </a:lnTo>
                                <a:lnTo>
                                  <a:pt x="1219428" y="675894"/>
                                </a:lnTo>
                                <a:lnTo>
                                  <a:pt x="1217041" y="666064"/>
                                </a:lnTo>
                                <a:lnTo>
                                  <a:pt x="1206690" y="670115"/>
                                </a:lnTo>
                                <a:lnTo>
                                  <a:pt x="1194460" y="673214"/>
                                </a:lnTo>
                                <a:lnTo>
                                  <a:pt x="1180973" y="675195"/>
                                </a:lnTo>
                                <a:lnTo>
                                  <a:pt x="1166876" y="675894"/>
                                </a:lnTo>
                                <a:lnTo>
                                  <a:pt x="1128610" y="669239"/>
                                </a:lnTo>
                                <a:lnTo>
                                  <a:pt x="1100162" y="650240"/>
                                </a:lnTo>
                                <a:lnTo>
                                  <a:pt x="1082459" y="620395"/>
                                </a:lnTo>
                                <a:lnTo>
                                  <a:pt x="1076350" y="581164"/>
                                </a:lnTo>
                                <a:lnTo>
                                  <a:pt x="1082979" y="539927"/>
                                </a:lnTo>
                                <a:lnTo>
                                  <a:pt x="1101699" y="509422"/>
                                </a:lnTo>
                                <a:lnTo>
                                  <a:pt x="1130820" y="490486"/>
                                </a:lnTo>
                                <a:lnTo>
                                  <a:pt x="1168628" y="483984"/>
                                </a:lnTo>
                                <a:lnTo>
                                  <a:pt x="1182738" y="484733"/>
                                </a:lnTo>
                                <a:lnTo>
                                  <a:pt x="1195463" y="486791"/>
                                </a:lnTo>
                                <a:lnTo>
                                  <a:pt x="1206614" y="489915"/>
                                </a:lnTo>
                                <a:lnTo>
                                  <a:pt x="1215986" y="493814"/>
                                </a:lnTo>
                                <a:lnTo>
                                  <a:pt x="1218996" y="483984"/>
                                </a:lnTo>
                                <a:lnTo>
                                  <a:pt x="1223708" y="468553"/>
                                </a:lnTo>
                                <a:close/>
                              </a:path>
                              <a:path w="1650364" h="702310">
                                <a:moveTo>
                                  <a:pt x="1328940" y="155524"/>
                                </a:moveTo>
                                <a:lnTo>
                                  <a:pt x="1322819" y="106781"/>
                                </a:lnTo>
                                <a:lnTo>
                                  <a:pt x="1304759" y="64135"/>
                                </a:lnTo>
                                <a:lnTo>
                                  <a:pt x="1296924" y="55194"/>
                                </a:lnTo>
                                <a:lnTo>
                                  <a:pt x="1275156" y="30314"/>
                                </a:lnTo>
                                <a:lnTo>
                                  <a:pt x="1255509" y="19570"/>
                                </a:lnTo>
                                <a:lnTo>
                                  <a:pt x="1255509" y="157810"/>
                                </a:lnTo>
                                <a:lnTo>
                                  <a:pt x="1250569" y="199529"/>
                                </a:lnTo>
                                <a:lnTo>
                                  <a:pt x="1236192" y="232613"/>
                                </a:lnTo>
                                <a:lnTo>
                                  <a:pt x="1212989" y="254406"/>
                                </a:lnTo>
                                <a:lnTo>
                                  <a:pt x="1181633" y="262255"/>
                                </a:lnTo>
                                <a:lnTo>
                                  <a:pt x="1181176" y="262255"/>
                                </a:lnTo>
                                <a:lnTo>
                                  <a:pt x="1149934" y="254304"/>
                                </a:lnTo>
                                <a:lnTo>
                                  <a:pt x="1126553" y="232448"/>
                                </a:lnTo>
                                <a:lnTo>
                                  <a:pt x="1111910" y="199732"/>
                                </a:lnTo>
                                <a:lnTo>
                                  <a:pt x="1106830" y="159181"/>
                                </a:lnTo>
                                <a:lnTo>
                                  <a:pt x="1111783" y="118694"/>
                                </a:lnTo>
                                <a:lnTo>
                                  <a:pt x="1126274" y="85648"/>
                                </a:lnTo>
                                <a:lnTo>
                                  <a:pt x="1149743" y="63360"/>
                                </a:lnTo>
                                <a:lnTo>
                                  <a:pt x="1181633" y="55194"/>
                                </a:lnTo>
                                <a:lnTo>
                                  <a:pt x="1213370" y="63474"/>
                                </a:lnTo>
                                <a:lnTo>
                                  <a:pt x="1236522" y="85813"/>
                                </a:lnTo>
                                <a:lnTo>
                                  <a:pt x="1250696" y="118491"/>
                                </a:lnTo>
                                <a:lnTo>
                                  <a:pt x="1255509" y="157810"/>
                                </a:lnTo>
                                <a:lnTo>
                                  <a:pt x="1255509" y="19570"/>
                                </a:lnTo>
                                <a:lnTo>
                                  <a:pt x="1234427" y="8039"/>
                                </a:lnTo>
                                <a:lnTo>
                                  <a:pt x="1182992" y="0"/>
                                </a:lnTo>
                                <a:lnTo>
                                  <a:pt x="1132763" y="7899"/>
                                </a:lnTo>
                                <a:lnTo>
                                  <a:pt x="1091323" y="30149"/>
                                </a:lnTo>
                                <a:lnTo>
                                  <a:pt x="1060056" y="64528"/>
                                </a:lnTo>
                                <a:lnTo>
                                  <a:pt x="1040282" y="108877"/>
                                </a:lnTo>
                                <a:lnTo>
                                  <a:pt x="1033399" y="160997"/>
                                </a:lnTo>
                                <a:lnTo>
                                  <a:pt x="1039723" y="210896"/>
                                </a:lnTo>
                                <a:lnTo>
                                  <a:pt x="1058151" y="253898"/>
                                </a:lnTo>
                                <a:lnTo>
                                  <a:pt x="1087882" y="287591"/>
                                </a:lnTo>
                                <a:lnTo>
                                  <a:pt x="1128090" y="309575"/>
                                </a:lnTo>
                                <a:lnTo>
                                  <a:pt x="1177975" y="317436"/>
                                </a:lnTo>
                                <a:lnTo>
                                  <a:pt x="1178433" y="317436"/>
                                </a:lnTo>
                                <a:lnTo>
                                  <a:pt x="1228585" y="310324"/>
                                </a:lnTo>
                                <a:lnTo>
                                  <a:pt x="1270228" y="289610"/>
                                </a:lnTo>
                                <a:lnTo>
                                  <a:pt x="1301838" y="256260"/>
                                </a:lnTo>
                                <a:lnTo>
                                  <a:pt x="1321917" y="211251"/>
                                </a:lnTo>
                                <a:lnTo>
                                  <a:pt x="1328940" y="155524"/>
                                </a:lnTo>
                                <a:close/>
                              </a:path>
                              <a:path w="1650364" h="702310">
                                <a:moveTo>
                                  <a:pt x="1394561" y="672731"/>
                                </a:moveTo>
                                <a:lnTo>
                                  <a:pt x="1292110" y="672731"/>
                                </a:lnTo>
                                <a:lnTo>
                                  <a:pt x="1292110" y="587476"/>
                                </a:lnTo>
                                <a:lnTo>
                                  <a:pt x="1383690" y="587476"/>
                                </a:lnTo>
                                <a:lnTo>
                                  <a:pt x="1383690" y="562216"/>
                                </a:lnTo>
                                <a:lnTo>
                                  <a:pt x="1292110" y="562216"/>
                                </a:lnTo>
                                <a:lnTo>
                                  <a:pt x="1292110" y="487489"/>
                                </a:lnTo>
                                <a:lnTo>
                                  <a:pt x="1389303" y="487489"/>
                                </a:lnTo>
                                <a:lnTo>
                                  <a:pt x="1389303" y="461886"/>
                                </a:lnTo>
                                <a:lnTo>
                                  <a:pt x="1261237" y="461886"/>
                                </a:lnTo>
                                <a:lnTo>
                                  <a:pt x="1261237" y="698347"/>
                                </a:lnTo>
                                <a:lnTo>
                                  <a:pt x="1394561" y="698347"/>
                                </a:lnTo>
                                <a:lnTo>
                                  <a:pt x="1394561" y="672731"/>
                                </a:lnTo>
                                <a:close/>
                              </a:path>
                              <a:path w="1650364" h="702310">
                                <a:moveTo>
                                  <a:pt x="1646377" y="151422"/>
                                </a:moveTo>
                                <a:lnTo>
                                  <a:pt x="1632356" y="81876"/>
                                </a:lnTo>
                                <a:lnTo>
                                  <a:pt x="1594383" y="35572"/>
                                </a:lnTo>
                                <a:lnTo>
                                  <a:pt x="1572945" y="22644"/>
                                </a:lnTo>
                                <a:lnTo>
                                  <a:pt x="1572945" y="153708"/>
                                </a:lnTo>
                                <a:lnTo>
                                  <a:pt x="1565465" y="201574"/>
                                </a:lnTo>
                                <a:lnTo>
                                  <a:pt x="1544269" y="235242"/>
                                </a:lnTo>
                                <a:lnTo>
                                  <a:pt x="1511185" y="255041"/>
                                </a:lnTo>
                                <a:lnTo>
                                  <a:pt x="1468056" y="261340"/>
                                </a:lnTo>
                                <a:lnTo>
                                  <a:pt x="1449806" y="261340"/>
                                </a:lnTo>
                                <a:lnTo>
                                  <a:pt x="1443875" y="259969"/>
                                </a:lnTo>
                                <a:lnTo>
                                  <a:pt x="1443875" y="58839"/>
                                </a:lnTo>
                                <a:lnTo>
                                  <a:pt x="1449184" y="57835"/>
                                </a:lnTo>
                                <a:lnTo>
                                  <a:pt x="1456194" y="56959"/>
                                </a:lnTo>
                                <a:lnTo>
                                  <a:pt x="1464919" y="56337"/>
                                </a:lnTo>
                                <a:lnTo>
                                  <a:pt x="1475346" y="56095"/>
                                </a:lnTo>
                                <a:lnTo>
                                  <a:pt x="1515999" y="62369"/>
                                </a:lnTo>
                                <a:lnTo>
                                  <a:pt x="1546720" y="80962"/>
                                </a:lnTo>
                                <a:lnTo>
                                  <a:pt x="1566164" y="111518"/>
                                </a:lnTo>
                                <a:lnTo>
                                  <a:pt x="1572945" y="153708"/>
                                </a:lnTo>
                                <a:lnTo>
                                  <a:pt x="1572945" y="22644"/>
                                </a:lnTo>
                                <a:lnTo>
                                  <a:pt x="1570609" y="21221"/>
                                </a:lnTo>
                                <a:lnTo>
                                  <a:pt x="1542338" y="10960"/>
                                </a:lnTo>
                                <a:lnTo>
                                  <a:pt x="1508506" y="4800"/>
                                </a:lnTo>
                                <a:lnTo>
                                  <a:pt x="1468056" y="2743"/>
                                </a:lnTo>
                                <a:lnTo>
                                  <a:pt x="1442415" y="3175"/>
                                </a:lnTo>
                                <a:lnTo>
                                  <a:pt x="1417878" y="4457"/>
                                </a:lnTo>
                                <a:lnTo>
                                  <a:pt x="1395056" y="6591"/>
                                </a:lnTo>
                                <a:lnTo>
                                  <a:pt x="1374546" y="9575"/>
                                </a:lnTo>
                                <a:lnTo>
                                  <a:pt x="1374546" y="311061"/>
                                </a:lnTo>
                                <a:lnTo>
                                  <a:pt x="1388935" y="312737"/>
                                </a:lnTo>
                                <a:lnTo>
                                  <a:pt x="1406817" y="314198"/>
                                </a:lnTo>
                                <a:lnTo>
                                  <a:pt x="1428292" y="315226"/>
                                </a:lnTo>
                                <a:lnTo>
                                  <a:pt x="1453451" y="315620"/>
                                </a:lnTo>
                                <a:lnTo>
                                  <a:pt x="1496529" y="313207"/>
                                </a:lnTo>
                                <a:lnTo>
                                  <a:pt x="1535036" y="305879"/>
                                </a:lnTo>
                                <a:lnTo>
                                  <a:pt x="1595755" y="275932"/>
                                </a:lnTo>
                                <a:lnTo>
                                  <a:pt x="1632013" y="226339"/>
                                </a:lnTo>
                                <a:lnTo>
                                  <a:pt x="1642567" y="192176"/>
                                </a:lnTo>
                                <a:lnTo>
                                  <a:pt x="1646377" y="151422"/>
                                </a:lnTo>
                                <a:close/>
                              </a:path>
                              <a:path w="1650364" h="702310">
                                <a:moveTo>
                                  <a:pt x="1650314" y="621512"/>
                                </a:moveTo>
                                <a:lnTo>
                                  <a:pt x="1645246" y="591350"/>
                                </a:lnTo>
                                <a:lnTo>
                                  <a:pt x="1633042" y="571347"/>
                                </a:lnTo>
                                <a:lnTo>
                                  <a:pt x="1631061" y="568096"/>
                                </a:lnTo>
                                <a:lnTo>
                                  <a:pt x="1619084" y="559866"/>
                                </a:lnTo>
                                <a:lnTo>
                                  <a:pt x="1619084" y="623620"/>
                                </a:lnTo>
                                <a:lnTo>
                                  <a:pt x="1615884" y="645934"/>
                                </a:lnTo>
                                <a:lnTo>
                                  <a:pt x="1606854" y="663219"/>
                                </a:lnTo>
                                <a:lnTo>
                                  <a:pt x="1592897" y="674382"/>
                                </a:lnTo>
                                <a:lnTo>
                                  <a:pt x="1574888" y="678345"/>
                                </a:lnTo>
                                <a:lnTo>
                                  <a:pt x="1574533" y="678345"/>
                                </a:lnTo>
                                <a:lnTo>
                                  <a:pt x="1553121" y="673379"/>
                                </a:lnTo>
                                <a:lnTo>
                                  <a:pt x="1537474" y="659625"/>
                                </a:lnTo>
                                <a:lnTo>
                                  <a:pt x="1527810" y="638822"/>
                                </a:lnTo>
                                <a:lnTo>
                                  <a:pt x="1524368" y="612736"/>
                                </a:lnTo>
                                <a:lnTo>
                                  <a:pt x="1524368" y="607123"/>
                                </a:lnTo>
                                <a:lnTo>
                                  <a:pt x="1555978" y="574497"/>
                                </a:lnTo>
                                <a:lnTo>
                                  <a:pt x="1572082" y="571347"/>
                                </a:lnTo>
                                <a:lnTo>
                                  <a:pt x="1591411" y="574929"/>
                                </a:lnTo>
                                <a:lnTo>
                                  <a:pt x="1606232" y="585254"/>
                                </a:lnTo>
                                <a:lnTo>
                                  <a:pt x="1615732" y="601687"/>
                                </a:lnTo>
                                <a:lnTo>
                                  <a:pt x="1619084" y="623620"/>
                                </a:lnTo>
                                <a:lnTo>
                                  <a:pt x="1619084" y="559866"/>
                                </a:lnTo>
                                <a:lnTo>
                                  <a:pt x="1609305" y="553135"/>
                                </a:lnTo>
                                <a:lnTo>
                                  <a:pt x="1581543" y="547839"/>
                                </a:lnTo>
                                <a:lnTo>
                                  <a:pt x="1563763" y="549935"/>
                                </a:lnTo>
                                <a:lnTo>
                                  <a:pt x="1548447" y="555650"/>
                                </a:lnTo>
                                <a:lnTo>
                                  <a:pt x="1535823" y="564121"/>
                                </a:lnTo>
                                <a:lnTo>
                                  <a:pt x="1526120" y="574497"/>
                                </a:lnTo>
                                <a:lnTo>
                                  <a:pt x="1525409" y="574497"/>
                                </a:lnTo>
                                <a:lnTo>
                                  <a:pt x="1548752" y="522846"/>
                                </a:lnTo>
                                <a:lnTo>
                                  <a:pt x="1604708" y="493814"/>
                                </a:lnTo>
                                <a:lnTo>
                                  <a:pt x="1621548" y="491705"/>
                                </a:lnTo>
                                <a:lnTo>
                                  <a:pt x="1627860" y="492048"/>
                                </a:lnTo>
                                <a:lnTo>
                                  <a:pt x="1627860" y="491705"/>
                                </a:lnTo>
                                <a:lnTo>
                                  <a:pt x="1627860" y="466788"/>
                                </a:lnTo>
                                <a:lnTo>
                                  <a:pt x="1622247" y="466788"/>
                                </a:lnTo>
                                <a:lnTo>
                                  <a:pt x="1584540" y="472681"/>
                                </a:lnTo>
                                <a:lnTo>
                                  <a:pt x="1547787" y="489623"/>
                                </a:lnTo>
                                <a:lnTo>
                                  <a:pt x="1516786" y="521462"/>
                                </a:lnTo>
                                <a:lnTo>
                                  <a:pt x="1496656" y="573176"/>
                                </a:lnTo>
                                <a:lnTo>
                                  <a:pt x="1493837" y="605028"/>
                                </a:lnTo>
                                <a:lnTo>
                                  <a:pt x="1499577" y="645223"/>
                                </a:lnTo>
                                <a:lnTo>
                                  <a:pt x="1515859" y="675855"/>
                                </a:lnTo>
                                <a:lnTo>
                                  <a:pt x="1541195" y="695363"/>
                                </a:lnTo>
                                <a:lnTo>
                                  <a:pt x="1574177" y="702208"/>
                                </a:lnTo>
                                <a:lnTo>
                                  <a:pt x="1606207" y="695528"/>
                                </a:lnTo>
                                <a:lnTo>
                                  <a:pt x="1629206" y="678345"/>
                                </a:lnTo>
                                <a:lnTo>
                                  <a:pt x="1630133" y="677646"/>
                                </a:lnTo>
                                <a:lnTo>
                                  <a:pt x="1645132" y="651891"/>
                                </a:lnTo>
                                <a:lnTo>
                                  <a:pt x="1650314" y="621512"/>
                                </a:lnTo>
                                <a:close/>
                              </a:path>
                            </a:pathLst>
                          </a:custGeom>
                          <a:solidFill>
                            <a:srgbClr val="FFFFFF"/>
                          </a:solidFill>
                        </wps:spPr>
                        <wps:bodyPr wrap="square" lIns="0" tIns="0" rIns="0" bIns="0" rtlCol="0">
                          <a:prstTxWarp prst="textNoShape">
                            <a:avLst/>
                          </a:prstTxWarp>
                          <a:noAutofit/>
                        </wps:bodyPr>
                      </wps:wsp>
                      <wps:wsp>
                        <wps:cNvPr id="4" name="Textbox 4"/>
                        <wps:cNvSpPr txBox="1"/>
                        <wps:spPr>
                          <a:xfrm>
                            <a:off x="0" y="0"/>
                            <a:ext cx="2124710" cy="1872614"/>
                          </a:xfrm>
                          <a:prstGeom prst="rect">
                            <a:avLst/>
                          </a:prstGeom>
                        </wps:spPr>
                        <wps:txbx>
                          <w:txbxContent>
                            <w:p w:rsidR="00B722CB" w:rsidRDefault="00B722CB">
                              <w:pPr>
                                <w:spacing w:before="868"/>
                                <w:rPr>
                                  <w:b/>
                                  <w:sz w:val="80"/>
                                </w:rPr>
                              </w:pPr>
                            </w:p>
                            <w:p w:rsidR="00B722CB" w:rsidRDefault="00000000">
                              <w:pPr>
                                <w:ind w:left="1084"/>
                                <w:rPr>
                                  <w:b/>
                                  <w:sz w:val="80"/>
                                </w:rPr>
                              </w:pPr>
                              <w:r>
                                <w:rPr>
                                  <w:b/>
                                  <w:color w:val="FFFFFF"/>
                                  <w:spacing w:val="-5"/>
                                  <w:sz w:val="80"/>
                                </w:rPr>
                                <w:t>G1</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01.10199pt;margin-top:-52.836075pt;width:167.3pt;height:147.450pt;mso-position-horizontal-relative:page;mso-position-vertical-relative:paragraph;z-index:15729152" id="docshapegroup1" coordorigin="8022,-1057" coordsize="3346,2949">
                <v:shape style="position:absolute;left:8022;top:-1057;width:3346;height:2949" id="docshape2" coordorigin="8022,-1057" coordsize="3346,2949" path="m10777,-1057l8613,-1057,8563,-1014,8512,-964,8463,-913,8415,-859,8371,-804,8328,-746,8288,-687,8250,-626,8215,-563,8183,-498,8153,-432,8127,-365,8103,-296,8082,-226,8064,-155,8049,-82,8037,-8,8029,66,8024,142,8022,219,8024,295,8029,371,8037,446,8049,519,8064,592,8082,663,8103,733,8127,802,8153,870,8183,936,8215,1000,8250,1063,8288,1124,8328,1183,8371,1241,8415,1296,8463,1350,8512,1401,8563,1451,8617,1498,8673,1543,8730,1585,8789,1625,8850,1663,8913,1698,8978,1730,9044,1760,9111,1787,9180,1811,9250,1832,9321,1850,9394,1864,9468,1876,9542,1884,9618,1890,9695,1891,9771,1890,9847,1884,9922,1876,9995,1864,10068,1850,10139,1832,10210,1811,10278,1787,10346,1760,10412,1730,10476,1698,10539,1663,10600,1625,10659,1585,10717,1543,10772,1498,10826,1451,10878,1401,10927,1350,10974,1296,11019,1241,11061,1183,11101,1124,11139,1063,11174,1000,11206,936,11236,870,11263,802,11287,733,11308,663,11326,592,11340,519,11352,446,11361,371,11366,295,11367,219,11366,142,11361,66,11352,-8,11340,-82,11326,-155,11308,-226,11287,-296,11263,-365,11236,-432,11206,-498,11174,-563,11139,-626,11101,-687,11061,-746,11019,-804,10974,-859,10927,-913,10878,-964,10826,-1014,10777,-1057xe" filled="true" fillcolor="#00aeef" stroked="false">
                  <v:path arrowok="t"/>
                  <v:fill type="solid"/>
                </v:shape>
                <v:shape style="position:absolute;left:8400;top:-674;width:2599;height:1106" id="docshape3" coordorigin="8401,-674" coordsize="2599,1106" path="m8631,159l8628,136,8622,115,8611,97,8604,89,8598,82,8582,71,8582,162,8576,196,8557,221,8528,236,8489,241,8473,241,8459,240,8449,237,8449,93,8457,92,8467,90,8480,89,8494,89,8530,94,8558,107,8576,130,8582,162,8582,71,8579,69,8555,59,8526,53,8493,51,8466,52,8441,53,8420,56,8401,59,8401,426,8449,426,8449,276,8460,279,8473,280,8488,280,8522,277,8525,276,8553,270,8580,257,8599,241,8601,239,8614,223,8623,205,8629,183,8631,159xm8937,426l8932,411,8925,389,8918,360,8909,324,8901,297,8889,276,8879,265,8874,259,8855,249,8855,247,8882,234,8888,228,8904,213,8919,186,8925,153,8923,132,8917,112,8908,96,8901,89,8895,82,8876,68,8876,158,8870,187,8853,209,8827,223,8792,228,8743,228,8743,93,8751,91,8761,90,8774,89,8790,89,8825,93,8852,105,8870,127,8876,158,8876,68,8876,68,8852,59,8822,53,8787,51,8762,52,8738,53,8715,56,8695,59,8695,426,8743,426,8743,265,8788,265,8817,270,8838,282,8853,305,8863,337,8871,369,8877,395,8883,414,8888,426,8937,426xm9278,426l9238,309,9225,272,9177,130,9177,272,9065,272,9101,164,9107,146,9112,129,9116,113,9120,96,9121,96,9126,113,9130,130,9135,147,9140,164,9177,272,9177,130,9166,96,9151,54,9093,54,8967,426,9016,426,9055,309,9187,309,9227,426,9278,426xm9450,-459l9270,-459,9270,-373,9345,-373,9345,-271,9336,-269,9324,-267,9309,-265,9291,-265,9230,-276,9181,-307,9150,-356,9138,-424,9151,-492,9185,-541,9236,-570,9299,-580,9336,-579,9365,-574,9390,-568,9411,-559,9417,-580,9434,-648,9412,-656,9382,-663,9344,-669,9300,-671,9224,-663,9158,-641,9103,-605,9060,-555,9033,-492,9024,-418,9028,-366,9041,-319,9063,-277,9092,-241,9129,-213,9174,-193,9227,-181,9289,-177,9336,-179,9381,-186,9420,-195,9450,-204,9450,-265,9450,-459xm9585,64l9573,59,9554,54,9528,50,9497,48,9418,62,9357,102,9317,164,9303,243,9316,324,9355,383,9413,419,9486,432,9518,430,9546,426,9568,421,9584,414,9579,391,9575,375,9559,382,9539,387,9518,390,9496,391,9436,380,9391,350,9363,303,9353,242,9364,177,9393,129,9439,99,9499,89,9521,90,9541,93,9559,98,9573,104,9578,89,9585,64xm9894,54l9618,54,9618,95,9731,95,9731,426,9780,426,9780,95,9894,95,9894,54xm9979,-429l9969,-505,9941,-573,9928,-587,9894,-626,9863,-643,9863,-425,9855,-359,9833,-307,9796,-273,9747,-261,9746,-261,9697,-273,9660,-307,9637,-359,9629,-423,9637,-487,9660,-539,9697,-574,9747,-587,9797,-574,9833,-538,9856,-487,9863,-425,9863,-643,9830,-661,9749,-674,9670,-661,9605,-626,9555,-572,9524,-502,9513,-420,9523,-341,9552,-274,9599,-221,9662,-186,9741,-174,9742,-174,9821,-185,9886,-217,9927,-261,9936,-270,9968,-341,9979,-429xm9983,54l9935,54,9935,426,9983,426,9983,54xm10328,64l10315,59,10296,54,10271,50,10240,48,10161,62,10099,102,10059,164,10045,243,10059,324,10098,383,10156,419,10229,432,10261,430,10288,426,10311,421,10327,414,10321,391,10318,375,10301,382,10282,387,10261,390,10239,391,10178,380,10133,350,10106,303,10096,242,10106,177,10136,129,10182,99,10241,89,10264,90,10284,93,10301,98,10316,104,10321,89,10328,64xm10494,-429l10484,-505,10456,-573,10443,-587,10409,-626,10378,-643,10378,-425,10370,-359,10348,-307,10311,-273,10262,-261,10261,-261,10212,-273,10175,-307,10152,-359,10144,-423,10152,-487,10175,-539,10212,-574,10262,-587,10312,-574,10348,-538,10371,-487,10378,-425,10378,-643,10345,-661,10264,-674,10185,-661,10120,-626,10070,-572,10039,-502,10028,-420,10038,-341,10067,-274,10114,-221,10177,-186,10256,-174,10257,-174,10336,-185,10401,-217,10442,-261,10451,-270,10483,-341,10494,-429xm10597,386l10436,386,10436,252,10580,252,10580,212,10436,212,10436,94,10589,94,10589,54,10387,54,10387,426,10597,426,10597,386xm10994,-435l10988,-495,10972,-545,10946,-585,10946,-585,10912,-618,10878,-638,10878,-431,10866,-356,10833,-303,10781,-272,10713,-262,10684,-262,10675,-264,10675,-581,10683,-582,10694,-584,10708,-585,10724,-585,10788,-575,10837,-546,10867,-498,10878,-431,10878,-638,10874,-640,10830,-656,10777,-666,10713,-669,10672,-669,10634,-667,10598,-663,10566,-658,10566,-184,10588,-181,10616,-179,10650,-177,10690,-177,10758,-180,10818,-192,10871,-211,10914,-239,10935,-262,10946,-273,10971,-317,10988,-371,10994,-435xm11000,305l10992,258,10973,226,10970,221,10951,208,10951,309,10946,344,10931,371,10909,388,10881,395,10881,395,10847,387,10822,365,10807,332,10802,291,10802,283,10804,276,10806,270,10819,252,10836,238,10851,231,10855,229,10877,226,10907,232,10930,248,10945,274,10951,309,10951,208,10935,198,10892,189,10864,192,10839,201,10820,215,10804,231,10803,231,10815,188,10840,150,10877,121,10928,104,10942,102,10955,101,10964,101,10964,101,10964,62,10956,62,10943,62,10929,64,10896,71,10866,82,10838,98,10814,117,10790,148,10770,185,10758,229,10753,279,10762,343,10788,391,10828,422,10880,432,10930,422,10967,395,10968,394,10992,353,11000,305xe" filled="true" fillcolor="#ffffff" stroked="false">
                  <v:path arrowok="t"/>
                  <v:fill type="solid"/>
                </v:shape>
                <v:shapetype id="_x0000_t202" o:spt="202" coordsize="21600,21600" path="m,l,21600r21600,l21600,xe">
                  <v:stroke joinstyle="miter"/>
                  <v:path gradientshapeok="t" o:connecttype="rect"/>
                </v:shapetype>
                <v:shape style="position:absolute;left:8022;top:-1057;width:3346;height:2949" type="#_x0000_t202" id="docshape4" filled="false" stroked="false">
                  <v:textbox inset="0,0,0,0">
                    <w:txbxContent>
                      <w:p>
                        <w:pPr>
                          <w:spacing w:line="240" w:lineRule="auto" w:before="868"/>
                          <w:rPr>
                            <w:b/>
                            <w:sz w:val="80"/>
                          </w:rPr>
                        </w:pPr>
                      </w:p>
                      <w:p>
                        <w:pPr>
                          <w:spacing w:before="0"/>
                          <w:ind w:left="1084" w:right="0" w:firstLine="0"/>
                          <w:jc w:val="left"/>
                          <w:rPr>
                            <w:b/>
                            <w:sz w:val="80"/>
                          </w:rPr>
                        </w:pPr>
                        <w:r>
                          <w:rPr>
                            <w:b/>
                            <w:color w:val="FFFFFF"/>
                            <w:spacing w:val="-5"/>
                            <w:sz w:val="80"/>
                          </w:rPr>
                          <w:t>G1</w:t>
                        </w:r>
                      </w:p>
                    </w:txbxContent>
                  </v:textbox>
                  <w10:wrap type="none"/>
                </v:shape>
                <w10:wrap type="none"/>
              </v:group>
            </w:pict>
          </mc:Fallback>
        </mc:AlternateContent>
      </w:r>
      <w:r>
        <w:rPr>
          <w:noProof/>
        </w:rPr>
        <w:drawing>
          <wp:anchor distT="0" distB="0" distL="0" distR="0" simplePos="0" relativeHeight="15730176" behindDoc="0" locked="0" layoutInCell="1" allowOverlap="1">
            <wp:simplePos x="0" y="0"/>
            <wp:positionH relativeFrom="page">
              <wp:posOffset>3713796</wp:posOffset>
            </wp:positionH>
            <wp:positionV relativeFrom="paragraph">
              <wp:posOffset>-347013</wp:posOffset>
            </wp:positionV>
            <wp:extent cx="1254201" cy="84650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1254201" cy="846505"/>
                    </a:xfrm>
                    <a:prstGeom prst="rect">
                      <a:avLst/>
                    </a:prstGeom>
                  </pic:spPr>
                </pic:pic>
              </a:graphicData>
            </a:graphic>
          </wp:anchor>
        </w:drawing>
      </w:r>
      <w:r>
        <w:rPr>
          <w:color w:val="00AEEF"/>
          <w:sz w:val="32"/>
        </w:rPr>
        <w:t xml:space="preserve">The United Reformed Church </w:t>
      </w:r>
      <w:r>
        <w:rPr>
          <w:b/>
          <w:color w:val="231F20"/>
          <w:sz w:val="40"/>
        </w:rPr>
        <w:t>Safeguarding Guidance for Local Ecumenical Partnerships (LEPs)</w:t>
      </w:r>
    </w:p>
    <w:p w:rsidR="00B722CB" w:rsidRDefault="00000000">
      <w:pPr>
        <w:pStyle w:val="Heading1"/>
        <w:spacing w:before="249"/>
        <w:ind w:left="460" w:firstLine="0"/>
      </w:pPr>
      <w:r>
        <w:rPr>
          <w:color w:val="231F20"/>
          <w:spacing w:val="-2"/>
        </w:rPr>
        <w:t>Introduction</w:t>
      </w:r>
    </w:p>
    <w:p w:rsidR="00B722CB" w:rsidRDefault="00000000">
      <w:pPr>
        <w:pStyle w:val="BodyText"/>
        <w:spacing w:before="3" w:line="249" w:lineRule="auto"/>
        <w:ind w:right="498"/>
      </w:pPr>
      <w:r>
        <w:rPr>
          <w:color w:val="231F20"/>
        </w:rPr>
        <w:t>Local Ecumenical Partnerships (LEPs) are created when Christian denominations work together under a formal agreement. The most common of these is when denominations come into partnership by setting up a single congregation. Other examples include when they share a church building, or when they cooperate in chaplaincy. In the case of a single congregation LEP, a standard constitution, approved by the Charity Commission, must be drawn up. However, all LEPs are charities regulated by the Charity Commission. For more information, please see the Churches Together website</w:t>
      </w:r>
      <w:r w:rsidR="00E92960">
        <w:rPr>
          <w:color w:val="231F20"/>
        </w:rPr>
        <w:t xml:space="preserve">: </w:t>
      </w:r>
      <w:r w:rsidR="00E92960" w:rsidRPr="00E92960">
        <w:rPr>
          <w:b/>
          <w:bCs/>
          <w:color w:val="231F20"/>
        </w:rPr>
        <w:t>cte.org.uk</w:t>
      </w:r>
      <w:r>
        <w:rPr>
          <w:color w:val="231F20"/>
        </w:rPr>
        <w:t>.</w:t>
      </w:r>
    </w:p>
    <w:p w:rsidR="00B722CB" w:rsidRDefault="00B722CB">
      <w:pPr>
        <w:pStyle w:val="BodyText"/>
        <w:spacing w:before="19"/>
        <w:ind w:left="0"/>
      </w:pPr>
    </w:p>
    <w:p w:rsidR="00B722CB" w:rsidRDefault="00000000">
      <w:pPr>
        <w:pStyle w:val="BodyText"/>
        <w:spacing w:line="249" w:lineRule="auto"/>
      </w:pPr>
      <w:r>
        <w:rPr>
          <w:color w:val="231F20"/>
        </w:rPr>
        <w:t>There are, of course, practical challenges that arise in relation to churches with different policies, procedures and denominational requirements. This is particularly heightened when it comes to safeguarding, with the need to communicate and manage what can be sensitive matters between members of the clergy, paid and volunteer officers, and church members. A clear commitment to safeguarding will ensure that LEPs are able to operate to high standards of practice and take the necessary actions to make our churches safer spaces for all.</w:t>
      </w:r>
    </w:p>
    <w:p w:rsidR="00B722CB" w:rsidRDefault="00B722CB">
      <w:pPr>
        <w:pStyle w:val="BodyText"/>
        <w:spacing w:before="28"/>
        <w:ind w:left="0"/>
      </w:pPr>
    </w:p>
    <w:p w:rsidR="00B722CB" w:rsidRDefault="00000000">
      <w:pPr>
        <w:pStyle w:val="Heading1"/>
        <w:numPr>
          <w:ilvl w:val="0"/>
          <w:numId w:val="2"/>
        </w:numPr>
        <w:tabs>
          <w:tab w:val="left" w:pos="1179"/>
        </w:tabs>
        <w:ind w:hanging="719"/>
      </w:pPr>
      <w:r>
        <w:rPr>
          <w:color w:val="231F20"/>
        </w:rPr>
        <w:t>Supporting</w:t>
      </w:r>
      <w:r>
        <w:rPr>
          <w:color w:val="231F20"/>
          <w:spacing w:val="22"/>
        </w:rPr>
        <w:t xml:space="preserve"> </w:t>
      </w:r>
      <w:r>
        <w:rPr>
          <w:color w:val="231F20"/>
        </w:rPr>
        <w:t>Good</w:t>
      </w:r>
      <w:r>
        <w:rPr>
          <w:color w:val="231F20"/>
          <w:spacing w:val="23"/>
        </w:rPr>
        <w:t xml:space="preserve"> </w:t>
      </w:r>
      <w:r>
        <w:rPr>
          <w:color w:val="231F20"/>
        </w:rPr>
        <w:t>Practice</w:t>
      </w:r>
      <w:r>
        <w:rPr>
          <w:color w:val="231F20"/>
          <w:spacing w:val="22"/>
        </w:rPr>
        <w:t xml:space="preserve"> </w:t>
      </w:r>
      <w:r>
        <w:rPr>
          <w:color w:val="231F20"/>
        </w:rPr>
        <w:t>within</w:t>
      </w:r>
      <w:r>
        <w:rPr>
          <w:color w:val="231F20"/>
          <w:spacing w:val="23"/>
        </w:rPr>
        <w:t xml:space="preserve"> </w:t>
      </w:r>
      <w:r>
        <w:rPr>
          <w:color w:val="231F20"/>
          <w:spacing w:val="-4"/>
        </w:rPr>
        <w:t>LEPs</w:t>
      </w:r>
    </w:p>
    <w:p w:rsidR="00B722CB" w:rsidRDefault="00000000">
      <w:pPr>
        <w:pStyle w:val="BodyText"/>
        <w:spacing w:before="4" w:line="249" w:lineRule="auto"/>
        <w:ind w:right="350"/>
      </w:pPr>
      <w:r>
        <w:rPr>
          <w:color w:val="231F20"/>
        </w:rPr>
        <w:t xml:space="preserve">This guidance </w:t>
      </w:r>
      <w:proofErr w:type="spellStart"/>
      <w:r>
        <w:rPr>
          <w:color w:val="231F20"/>
        </w:rPr>
        <w:t>recognises</w:t>
      </w:r>
      <w:proofErr w:type="spellEnd"/>
      <w:r>
        <w:rPr>
          <w:color w:val="231F20"/>
        </w:rPr>
        <w:t xml:space="preserve"> the diversity that can exist both </w:t>
      </w:r>
      <w:proofErr w:type="spellStart"/>
      <w:r>
        <w:rPr>
          <w:color w:val="231F20"/>
        </w:rPr>
        <w:t>organisationally</w:t>
      </w:r>
      <w:proofErr w:type="spellEnd"/>
      <w:r>
        <w:rPr>
          <w:color w:val="231F20"/>
        </w:rPr>
        <w:t xml:space="preserve"> and structurally</w:t>
      </w:r>
      <w:r>
        <w:rPr>
          <w:color w:val="231F20"/>
          <w:spacing w:val="40"/>
        </w:rPr>
        <w:t xml:space="preserve"> </w:t>
      </w:r>
      <w:r>
        <w:rPr>
          <w:color w:val="231F20"/>
        </w:rPr>
        <w:t>between denominations, which can comprise an LEP. Nevertheless, clear decision making, effective joint working and appropriate communication between LEP member churches is needed to ensure the safety of all who are involved with the church and its activities.</w:t>
      </w:r>
    </w:p>
    <w:p w:rsidR="00B722CB" w:rsidRDefault="00B722CB">
      <w:pPr>
        <w:pStyle w:val="BodyText"/>
        <w:spacing w:before="16"/>
        <w:ind w:left="0"/>
      </w:pPr>
    </w:p>
    <w:p w:rsidR="00B722CB" w:rsidRDefault="00000000">
      <w:pPr>
        <w:pStyle w:val="BodyText"/>
        <w:spacing w:line="249" w:lineRule="auto"/>
        <w:ind w:right="856"/>
        <w:jc w:val="both"/>
      </w:pPr>
      <w:r>
        <w:rPr>
          <w:color w:val="231F20"/>
        </w:rPr>
        <w:t>Safeguarding officers have a commitment to providing churches with professional and timely safeguarding support. Each denomination has its own policies and procedures and requires churches to adopt these at a local level.</w:t>
      </w:r>
    </w:p>
    <w:p w:rsidR="00B722CB" w:rsidRDefault="00B722CB">
      <w:pPr>
        <w:pStyle w:val="BodyText"/>
        <w:spacing w:before="15"/>
        <w:ind w:left="0"/>
      </w:pPr>
    </w:p>
    <w:p w:rsidR="00B722CB" w:rsidRDefault="00000000">
      <w:pPr>
        <w:pStyle w:val="BodyText"/>
        <w:spacing w:line="249" w:lineRule="auto"/>
      </w:pPr>
      <w:r>
        <w:rPr>
          <w:color w:val="231F20"/>
        </w:rPr>
        <w:t>In an LEP setting, agreement on which denomination’s safeguarding policy to follow is crucial to enable appropriate communication between denominational safeguarding teams as required.</w:t>
      </w:r>
    </w:p>
    <w:p w:rsidR="00B722CB" w:rsidRDefault="00000000">
      <w:pPr>
        <w:pStyle w:val="BodyText"/>
        <w:spacing w:before="2" w:line="249" w:lineRule="auto"/>
        <w:ind w:right="498"/>
      </w:pPr>
      <w:r>
        <w:rPr>
          <w:color w:val="231F20"/>
        </w:rPr>
        <w:t xml:space="preserve">Within any one denomination, there exists a significant number of roles. For the purpose of this document and the avoidance of doubt, the term Church Officer is used to cover any role within the church, whether paid or unpaid, lay or ordained or elected. The term safeguarding officer includes safeguarding adviser. (URC terms can be found in the glossary at the end of this </w:t>
      </w:r>
      <w:r>
        <w:rPr>
          <w:color w:val="231F20"/>
          <w:spacing w:val="-2"/>
        </w:rPr>
        <w:t>document.)</w:t>
      </w:r>
    </w:p>
    <w:p w:rsidR="00B722CB" w:rsidRDefault="00B722CB">
      <w:pPr>
        <w:pStyle w:val="BodyText"/>
        <w:spacing w:before="27"/>
        <w:ind w:left="0"/>
      </w:pPr>
    </w:p>
    <w:p w:rsidR="00B722CB" w:rsidRDefault="00000000">
      <w:pPr>
        <w:pStyle w:val="Heading1"/>
        <w:numPr>
          <w:ilvl w:val="0"/>
          <w:numId w:val="2"/>
        </w:numPr>
        <w:tabs>
          <w:tab w:val="left" w:pos="1179"/>
        </w:tabs>
        <w:ind w:hanging="719"/>
      </w:pPr>
      <w:r>
        <w:rPr>
          <w:color w:val="231F20"/>
        </w:rPr>
        <w:t>Choosing</w:t>
      </w:r>
      <w:r>
        <w:rPr>
          <w:color w:val="231F20"/>
          <w:spacing w:val="11"/>
        </w:rPr>
        <w:t xml:space="preserve"> </w:t>
      </w:r>
      <w:r>
        <w:rPr>
          <w:color w:val="231F20"/>
        </w:rPr>
        <w:t>which</w:t>
      </w:r>
      <w:r>
        <w:rPr>
          <w:color w:val="231F20"/>
          <w:spacing w:val="12"/>
        </w:rPr>
        <w:t xml:space="preserve"> </w:t>
      </w:r>
      <w:r>
        <w:rPr>
          <w:color w:val="231F20"/>
        </w:rPr>
        <w:t>safeguarding</w:t>
      </w:r>
      <w:r>
        <w:rPr>
          <w:color w:val="231F20"/>
          <w:spacing w:val="12"/>
        </w:rPr>
        <w:t xml:space="preserve"> </w:t>
      </w:r>
      <w:r>
        <w:rPr>
          <w:color w:val="231F20"/>
        </w:rPr>
        <w:t>policy</w:t>
      </w:r>
      <w:r>
        <w:rPr>
          <w:color w:val="231F20"/>
          <w:spacing w:val="12"/>
        </w:rPr>
        <w:t xml:space="preserve"> </w:t>
      </w:r>
      <w:r>
        <w:rPr>
          <w:color w:val="231F20"/>
        </w:rPr>
        <w:t>to</w:t>
      </w:r>
      <w:r>
        <w:rPr>
          <w:color w:val="231F20"/>
          <w:spacing w:val="11"/>
        </w:rPr>
        <w:t xml:space="preserve"> </w:t>
      </w:r>
      <w:r>
        <w:rPr>
          <w:color w:val="231F20"/>
        </w:rPr>
        <w:t>use</w:t>
      </w:r>
      <w:r>
        <w:rPr>
          <w:color w:val="231F20"/>
          <w:spacing w:val="12"/>
        </w:rPr>
        <w:t xml:space="preserve"> </w:t>
      </w:r>
      <w:r>
        <w:rPr>
          <w:color w:val="231F20"/>
        </w:rPr>
        <w:t>in</w:t>
      </w:r>
      <w:r>
        <w:rPr>
          <w:color w:val="231F20"/>
          <w:spacing w:val="12"/>
        </w:rPr>
        <w:t xml:space="preserve"> </w:t>
      </w:r>
      <w:r>
        <w:rPr>
          <w:color w:val="231F20"/>
        </w:rPr>
        <w:t>an</w:t>
      </w:r>
      <w:r>
        <w:rPr>
          <w:color w:val="231F20"/>
          <w:spacing w:val="12"/>
        </w:rPr>
        <w:t xml:space="preserve"> </w:t>
      </w:r>
      <w:r>
        <w:rPr>
          <w:color w:val="231F20"/>
          <w:spacing w:val="-5"/>
        </w:rPr>
        <w:t>LEP</w:t>
      </w:r>
    </w:p>
    <w:p w:rsidR="00B722CB" w:rsidRDefault="00000000">
      <w:pPr>
        <w:pStyle w:val="BodyText"/>
        <w:spacing w:before="4" w:line="249" w:lineRule="auto"/>
        <w:ind w:right="684"/>
      </w:pPr>
      <w:r>
        <w:rPr>
          <w:color w:val="231F20"/>
        </w:rPr>
        <w:t>When an LEP is established, or where the LEP wishes to review its safeguarding</w:t>
      </w:r>
      <w:r>
        <w:rPr>
          <w:color w:val="231F20"/>
          <w:spacing w:val="40"/>
        </w:rPr>
        <w:t xml:space="preserve"> </w:t>
      </w:r>
      <w:r>
        <w:rPr>
          <w:color w:val="231F20"/>
        </w:rPr>
        <w:t xml:space="preserve">arrangements, the trustees should agree which denomination’s safeguarding policy they will adopt. The safeguarding policy and procedures adopted must be acceptable to all participating </w:t>
      </w:r>
      <w:r>
        <w:rPr>
          <w:color w:val="231F20"/>
          <w:spacing w:val="-2"/>
        </w:rPr>
        <w:t>denominations.</w:t>
      </w:r>
    </w:p>
    <w:p w:rsidR="00B722CB" w:rsidRDefault="00B722CB">
      <w:pPr>
        <w:pStyle w:val="BodyText"/>
        <w:ind w:left="0"/>
      </w:pPr>
    </w:p>
    <w:p w:rsidR="00B722CB" w:rsidRDefault="00B722CB">
      <w:pPr>
        <w:pStyle w:val="BodyText"/>
        <w:ind w:left="0"/>
      </w:pPr>
    </w:p>
    <w:p w:rsidR="00B722CB" w:rsidRDefault="00B722CB">
      <w:pPr>
        <w:pStyle w:val="BodyText"/>
        <w:ind w:left="0"/>
      </w:pPr>
    </w:p>
    <w:p w:rsidR="00B722CB" w:rsidRDefault="00B722CB">
      <w:pPr>
        <w:pStyle w:val="BodyText"/>
        <w:ind w:left="0"/>
      </w:pPr>
    </w:p>
    <w:p w:rsidR="00B722CB" w:rsidRDefault="00B722CB">
      <w:pPr>
        <w:pStyle w:val="BodyText"/>
        <w:spacing w:before="235"/>
        <w:ind w:left="0"/>
      </w:pPr>
    </w:p>
    <w:p w:rsidR="00B722CB" w:rsidRDefault="00000000">
      <w:pPr>
        <w:pStyle w:val="Heading2"/>
        <w:tabs>
          <w:tab w:val="left" w:pos="4494"/>
        </w:tabs>
        <w:spacing w:before="1"/>
        <w:ind w:left="169"/>
        <w:jc w:val="center"/>
      </w:pPr>
      <w:r>
        <w:rPr>
          <w:noProof/>
        </w:rPr>
        <mc:AlternateContent>
          <mc:Choice Requires="wps">
            <w:drawing>
              <wp:anchor distT="0" distB="0" distL="0" distR="0" simplePos="0" relativeHeight="487446016" behindDoc="1" locked="0" layoutInCell="1" allowOverlap="1">
                <wp:simplePos x="0" y="0"/>
                <wp:positionH relativeFrom="page">
                  <wp:posOffset>457200</wp:posOffset>
                </wp:positionH>
                <wp:positionV relativeFrom="paragraph">
                  <wp:posOffset>16311</wp:posOffset>
                </wp:positionV>
                <wp:extent cx="85090" cy="1708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90" cy="170815"/>
                        </a:xfrm>
                        <a:prstGeom prst="rect">
                          <a:avLst/>
                        </a:prstGeom>
                      </wps:spPr>
                      <wps:txbx>
                        <w:txbxContent>
                          <w:p w:rsidR="00B722CB" w:rsidRDefault="00000000">
                            <w:pPr>
                              <w:pStyle w:val="BodyText"/>
                              <w:spacing w:line="268" w:lineRule="exact"/>
                              <w:ind w:left="0"/>
                            </w:pPr>
                            <w:r>
                              <w:rPr>
                                <w:color w:val="00AEEF"/>
                                <w:spacing w:val="-10"/>
                              </w:rPr>
                              <w:t>1</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6pt;margin-top:1.284394pt;width:6.7pt;height:13.45pt;mso-position-horizontal-relative:page;mso-position-vertical-relative:paragraph;z-index:-15870464" type="#_x0000_t202" id="docshape5" filled="false" stroked="false">
                <v:textbox inset="0,0,0,0">
                  <w:txbxContent>
                    <w:p>
                      <w:pPr>
                        <w:pStyle w:val="BodyText"/>
                        <w:spacing w:line="268" w:lineRule="exact"/>
                        <w:ind w:left="0"/>
                      </w:pPr>
                      <w:r>
                        <w:rPr>
                          <w:color w:val="00AEEF"/>
                          <w:spacing w:val="-10"/>
                        </w:rPr>
                        <w:t>1</w:t>
                      </w:r>
                    </w:p>
                  </w:txbxContent>
                </v:textbox>
                <w10:wrap type="none"/>
              </v:shape>
            </w:pict>
          </mc:Fallback>
        </mc:AlternateContent>
      </w:r>
      <w:r>
        <w:rPr>
          <w:noProof/>
        </w:rPr>
        <mc:AlternateContent>
          <mc:Choice Requires="wps">
            <w:drawing>
              <wp:anchor distT="0" distB="0" distL="0" distR="0" simplePos="0" relativeHeight="15729664" behindDoc="0" locked="0" layoutInCell="1" allowOverlap="1">
                <wp:simplePos x="0" y="0"/>
                <wp:positionH relativeFrom="page">
                  <wp:posOffset>233997</wp:posOffset>
                </wp:positionH>
                <wp:positionV relativeFrom="paragraph">
                  <wp:posOffset>-57475</wp:posOffset>
                </wp:positionV>
                <wp:extent cx="414020" cy="36004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020" cy="360045"/>
                        </a:xfrm>
                        <a:custGeom>
                          <a:avLst/>
                          <a:gdLst/>
                          <a:ahLst/>
                          <a:cxnLst/>
                          <a:rect l="l" t="t" r="r" b="b"/>
                          <a:pathLst>
                            <a:path w="414020" h="360045">
                              <a:moveTo>
                                <a:pt x="413994" y="0"/>
                              </a:moveTo>
                              <a:lnTo>
                                <a:pt x="0" y="0"/>
                              </a:lnTo>
                              <a:lnTo>
                                <a:pt x="0" y="359994"/>
                              </a:lnTo>
                              <a:lnTo>
                                <a:pt x="413994" y="359994"/>
                              </a:lnTo>
                              <a:lnTo>
                                <a:pt x="41399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8.424999pt;margin-top:-4.525625pt;width:32.598pt;height:28.346pt;mso-position-horizontal-relative:page;mso-position-vertical-relative:paragraph;z-index:15729664" id="docshape6" filled="true" fillcolor="#ffffff" stroked="false">
                <v:fill type="solid"/>
                <w10:wrap type="none"/>
              </v:rect>
            </w:pict>
          </mc:Fallback>
        </mc:AlternateContent>
      </w:r>
      <w:r>
        <w:rPr>
          <w:b w:val="0"/>
          <w:noProof/>
          <w:position w:val="-2"/>
        </w:rPr>
        <w:drawing>
          <wp:inline distT="0" distB="0" distL="0" distR="0">
            <wp:extent cx="145694" cy="145694"/>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145694" cy="145694"/>
                    </a:xfrm>
                    <a:prstGeom prst="rect">
                      <a:avLst/>
                    </a:prstGeom>
                  </pic:spPr>
                </pic:pic>
              </a:graphicData>
            </a:graphic>
          </wp:inline>
        </w:drawing>
      </w:r>
      <w:r>
        <w:rPr>
          <w:rFonts w:ascii="Times New Roman" w:hAnsi="Times New Roman"/>
          <w:b w:val="0"/>
          <w:spacing w:val="40"/>
          <w:sz w:val="20"/>
        </w:rPr>
        <w:t xml:space="preserve">  </w:t>
      </w:r>
      <w:r>
        <w:rPr>
          <w:color w:val="231F20"/>
        </w:rPr>
        <w:t>Good Practice 6</w:t>
      </w:r>
      <w:r>
        <w:rPr>
          <w:color w:val="231F20"/>
          <w:spacing w:val="80"/>
        </w:rPr>
        <w:t xml:space="preserve"> </w:t>
      </w:r>
      <w:r>
        <w:rPr>
          <w:color w:val="231F20"/>
        </w:rPr>
        <w:t>– Resource G1</w:t>
      </w:r>
      <w:r>
        <w:rPr>
          <w:color w:val="231F20"/>
        </w:rPr>
        <w:tab/>
      </w:r>
      <w:r>
        <w:rPr>
          <w:noProof/>
          <w:color w:val="231F20"/>
          <w:position w:val="-2"/>
        </w:rPr>
        <w:drawing>
          <wp:inline distT="0" distB="0" distL="0" distR="0">
            <wp:extent cx="145694" cy="145694"/>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145694" cy="145694"/>
                    </a:xfrm>
                    <a:prstGeom prst="rect">
                      <a:avLst/>
                    </a:prstGeom>
                  </pic:spPr>
                </pic:pic>
              </a:graphicData>
            </a:graphic>
          </wp:inline>
        </w:drawing>
      </w:r>
    </w:p>
    <w:p w:rsidR="00B722CB" w:rsidRDefault="00B722CB">
      <w:pPr>
        <w:jc w:val="center"/>
        <w:sectPr w:rsidR="00B722CB">
          <w:type w:val="continuous"/>
          <w:pgSz w:w="11910" w:h="16840"/>
          <w:pgMar w:top="0" w:right="420" w:bottom="0" w:left="260" w:header="720" w:footer="720" w:gutter="0"/>
          <w:cols w:space="720"/>
        </w:sectPr>
      </w:pPr>
    </w:p>
    <w:p w:rsidR="00B722CB" w:rsidRDefault="00000000">
      <w:pPr>
        <w:pStyle w:val="BodyText"/>
        <w:spacing w:before="72"/>
      </w:pPr>
      <w:r>
        <w:rPr>
          <w:color w:val="231F20"/>
        </w:rPr>
        <w:lastRenderedPageBreak/>
        <w:t>There</w:t>
      </w:r>
      <w:r>
        <w:rPr>
          <w:color w:val="231F20"/>
          <w:spacing w:val="5"/>
        </w:rPr>
        <w:t xml:space="preserve"> </w:t>
      </w:r>
      <w:r>
        <w:rPr>
          <w:color w:val="231F20"/>
        </w:rPr>
        <w:t>are</w:t>
      </w:r>
      <w:r>
        <w:rPr>
          <w:color w:val="231F20"/>
          <w:spacing w:val="8"/>
        </w:rPr>
        <w:t xml:space="preserve"> </w:t>
      </w:r>
      <w:r>
        <w:rPr>
          <w:color w:val="231F20"/>
        </w:rPr>
        <w:t>some</w:t>
      </w:r>
      <w:r>
        <w:rPr>
          <w:color w:val="231F20"/>
          <w:spacing w:val="7"/>
        </w:rPr>
        <w:t xml:space="preserve"> </w:t>
      </w:r>
      <w:r>
        <w:rPr>
          <w:color w:val="231F20"/>
        </w:rPr>
        <w:t>pragmatic</w:t>
      </w:r>
      <w:r>
        <w:rPr>
          <w:color w:val="231F20"/>
          <w:spacing w:val="8"/>
        </w:rPr>
        <w:t xml:space="preserve"> </w:t>
      </w:r>
      <w:r>
        <w:rPr>
          <w:color w:val="231F20"/>
        </w:rPr>
        <w:t>considerations</w:t>
      </w:r>
      <w:r>
        <w:rPr>
          <w:color w:val="231F20"/>
          <w:spacing w:val="8"/>
        </w:rPr>
        <w:t xml:space="preserve"> </w:t>
      </w:r>
      <w:r>
        <w:rPr>
          <w:color w:val="231F20"/>
        </w:rPr>
        <w:t>that</w:t>
      </w:r>
      <w:r>
        <w:rPr>
          <w:color w:val="231F20"/>
          <w:spacing w:val="7"/>
        </w:rPr>
        <w:t xml:space="preserve"> </w:t>
      </w:r>
      <w:r>
        <w:rPr>
          <w:color w:val="231F20"/>
        </w:rPr>
        <w:t>can</w:t>
      </w:r>
      <w:r>
        <w:rPr>
          <w:color w:val="231F20"/>
          <w:spacing w:val="8"/>
        </w:rPr>
        <w:t xml:space="preserve"> </w:t>
      </w:r>
      <w:r>
        <w:rPr>
          <w:color w:val="231F20"/>
        </w:rPr>
        <w:t>help</w:t>
      </w:r>
      <w:r>
        <w:rPr>
          <w:color w:val="231F20"/>
          <w:spacing w:val="7"/>
        </w:rPr>
        <w:t xml:space="preserve"> </w:t>
      </w:r>
      <w:r>
        <w:rPr>
          <w:color w:val="231F20"/>
        </w:rPr>
        <w:t>with</w:t>
      </w:r>
      <w:r>
        <w:rPr>
          <w:color w:val="231F20"/>
          <w:spacing w:val="8"/>
        </w:rPr>
        <w:t xml:space="preserve"> </w:t>
      </w:r>
      <w:r>
        <w:rPr>
          <w:color w:val="231F20"/>
        </w:rPr>
        <w:t>this</w:t>
      </w:r>
      <w:r>
        <w:rPr>
          <w:color w:val="231F20"/>
          <w:spacing w:val="8"/>
        </w:rPr>
        <w:t xml:space="preserve"> </w:t>
      </w:r>
      <w:r>
        <w:rPr>
          <w:color w:val="231F20"/>
          <w:spacing w:val="-2"/>
        </w:rPr>
        <w:t>decision:</w:t>
      </w:r>
    </w:p>
    <w:p w:rsidR="00B722CB" w:rsidRDefault="00000000">
      <w:pPr>
        <w:pStyle w:val="ListParagraph"/>
        <w:numPr>
          <w:ilvl w:val="0"/>
          <w:numId w:val="1"/>
        </w:numPr>
        <w:tabs>
          <w:tab w:val="left" w:pos="819"/>
        </w:tabs>
        <w:spacing w:before="12"/>
        <w:ind w:left="819" w:hanging="359"/>
        <w:rPr>
          <w:sz w:val="24"/>
        </w:rPr>
      </w:pPr>
      <w:r>
        <w:rPr>
          <w:color w:val="231F20"/>
          <w:sz w:val="24"/>
        </w:rPr>
        <w:t>Which</w:t>
      </w:r>
      <w:r>
        <w:rPr>
          <w:color w:val="231F20"/>
          <w:spacing w:val="7"/>
          <w:sz w:val="24"/>
        </w:rPr>
        <w:t xml:space="preserve"> </w:t>
      </w:r>
      <w:r>
        <w:rPr>
          <w:color w:val="231F20"/>
          <w:sz w:val="24"/>
        </w:rPr>
        <w:t>denomination</w:t>
      </w:r>
      <w:r>
        <w:rPr>
          <w:color w:val="231F20"/>
          <w:spacing w:val="10"/>
          <w:sz w:val="24"/>
        </w:rPr>
        <w:t xml:space="preserve"> </w:t>
      </w:r>
      <w:r>
        <w:rPr>
          <w:color w:val="231F20"/>
          <w:sz w:val="24"/>
        </w:rPr>
        <w:t>does</w:t>
      </w:r>
      <w:r>
        <w:rPr>
          <w:color w:val="231F20"/>
          <w:spacing w:val="9"/>
          <w:sz w:val="24"/>
        </w:rPr>
        <w:t xml:space="preserve"> </w:t>
      </w:r>
      <w:r>
        <w:rPr>
          <w:color w:val="231F20"/>
          <w:sz w:val="24"/>
        </w:rPr>
        <w:t>the</w:t>
      </w:r>
      <w:r>
        <w:rPr>
          <w:color w:val="231F20"/>
          <w:spacing w:val="10"/>
          <w:sz w:val="24"/>
        </w:rPr>
        <w:t xml:space="preserve"> </w:t>
      </w:r>
      <w:r>
        <w:rPr>
          <w:color w:val="231F20"/>
          <w:sz w:val="24"/>
        </w:rPr>
        <w:t>church</w:t>
      </w:r>
      <w:r>
        <w:rPr>
          <w:color w:val="231F20"/>
          <w:spacing w:val="9"/>
          <w:sz w:val="24"/>
        </w:rPr>
        <w:t xml:space="preserve"> </w:t>
      </w:r>
      <w:r>
        <w:rPr>
          <w:color w:val="231F20"/>
          <w:sz w:val="24"/>
        </w:rPr>
        <w:t>most</w:t>
      </w:r>
      <w:r>
        <w:rPr>
          <w:color w:val="231F20"/>
          <w:spacing w:val="10"/>
          <w:sz w:val="24"/>
        </w:rPr>
        <w:t xml:space="preserve"> </w:t>
      </w:r>
      <w:r>
        <w:rPr>
          <w:color w:val="231F20"/>
          <w:sz w:val="24"/>
        </w:rPr>
        <w:t>closely</w:t>
      </w:r>
      <w:r>
        <w:rPr>
          <w:color w:val="231F20"/>
          <w:spacing w:val="9"/>
          <w:sz w:val="24"/>
        </w:rPr>
        <w:t xml:space="preserve"> </w:t>
      </w:r>
      <w:r>
        <w:rPr>
          <w:color w:val="231F20"/>
          <w:sz w:val="24"/>
        </w:rPr>
        <w:t>identify</w:t>
      </w:r>
      <w:r>
        <w:rPr>
          <w:color w:val="231F20"/>
          <w:spacing w:val="10"/>
          <w:sz w:val="24"/>
        </w:rPr>
        <w:t xml:space="preserve"> </w:t>
      </w:r>
      <w:r>
        <w:rPr>
          <w:color w:val="231F20"/>
          <w:spacing w:val="-2"/>
          <w:sz w:val="24"/>
        </w:rPr>
        <w:t>with?</w:t>
      </w:r>
    </w:p>
    <w:p w:rsidR="00B722CB" w:rsidRDefault="00000000">
      <w:pPr>
        <w:pStyle w:val="ListParagraph"/>
        <w:numPr>
          <w:ilvl w:val="0"/>
          <w:numId w:val="1"/>
        </w:numPr>
        <w:tabs>
          <w:tab w:val="left" w:pos="820"/>
        </w:tabs>
        <w:spacing w:before="12" w:line="249" w:lineRule="auto"/>
        <w:ind w:right="660"/>
        <w:rPr>
          <w:sz w:val="24"/>
        </w:rPr>
      </w:pPr>
      <w:r>
        <w:rPr>
          <w:color w:val="231F20"/>
          <w:sz w:val="24"/>
        </w:rPr>
        <w:t xml:space="preserve">Which denomination provides the ordained member(s) of clergy at the point of deciding the </w:t>
      </w:r>
      <w:r>
        <w:rPr>
          <w:color w:val="231F20"/>
          <w:spacing w:val="-2"/>
          <w:sz w:val="24"/>
        </w:rPr>
        <w:t>policy?</w:t>
      </w:r>
    </w:p>
    <w:p w:rsidR="00B722CB" w:rsidRDefault="00000000">
      <w:pPr>
        <w:pStyle w:val="ListParagraph"/>
        <w:numPr>
          <w:ilvl w:val="0"/>
          <w:numId w:val="1"/>
        </w:numPr>
        <w:tabs>
          <w:tab w:val="left" w:pos="819"/>
        </w:tabs>
        <w:spacing w:before="2"/>
        <w:ind w:left="819" w:hanging="359"/>
        <w:rPr>
          <w:sz w:val="24"/>
        </w:rPr>
      </w:pPr>
      <w:r>
        <w:rPr>
          <w:color w:val="231F20"/>
          <w:sz w:val="24"/>
        </w:rPr>
        <w:t>Where</w:t>
      </w:r>
      <w:r>
        <w:rPr>
          <w:color w:val="231F20"/>
          <w:spacing w:val="5"/>
          <w:sz w:val="24"/>
        </w:rPr>
        <w:t xml:space="preserve"> </w:t>
      </w:r>
      <w:r>
        <w:rPr>
          <w:color w:val="231F20"/>
          <w:sz w:val="24"/>
        </w:rPr>
        <w:t>does</w:t>
      </w:r>
      <w:r>
        <w:rPr>
          <w:color w:val="231F20"/>
          <w:spacing w:val="8"/>
          <w:sz w:val="24"/>
        </w:rPr>
        <w:t xml:space="preserve"> </w:t>
      </w:r>
      <w:r>
        <w:rPr>
          <w:color w:val="231F20"/>
          <w:sz w:val="24"/>
        </w:rPr>
        <w:t>the</w:t>
      </w:r>
      <w:r>
        <w:rPr>
          <w:color w:val="231F20"/>
          <w:spacing w:val="8"/>
          <w:sz w:val="24"/>
        </w:rPr>
        <w:t xml:space="preserve"> </w:t>
      </w:r>
      <w:r>
        <w:rPr>
          <w:color w:val="231F20"/>
          <w:sz w:val="24"/>
        </w:rPr>
        <w:t>church</w:t>
      </w:r>
      <w:r>
        <w:rPr>
          <w:color w:val="231F20"/>
          <w:spacing w:val="7"/>
          <w:sz w:val="24"/>
        </w:rPr>
        <w:t xml:space="preserve"> </w:t>
      </w:r>
      <w:r>
        <w:rPr>
          <w:color w:val="231F20"/>
          <w:sz w:val="24"/>
        </w:rPr>
        <w:t>go</w:t>
      </w:r>
      <w:r>
        <w:rPr>
          <w:color w:val="231F20"/>
          <w:spacing w:val="8"/>
          <w:sz w:val="24"/>
        </w:rPr>
        <w:t xml:space="preserve"> </w:t>
      </w:r>
      <w:r>
        <w:rPr>
          <w:color w:val="231F20"/>
          <w:sz w:val="24"/>
        </w:rPr>
        <w:t>to</w:t>
      </w:r>
      <w:r>
        <w:rPr>
          <w:color w:val="231F20"/>
          <w:spacing w:val="8"/>
          <w:sz w:val="24"/>
        </w:rPr>
        <w:t xml:space="preserve"> </w:t>
      </w:r>
      <w:r>
        <w:rPr>
          <w:color w:val="231F20"/>
          <w:sz w:val="24"/>
        </w:rPr>
        <w:t>for</w:t>
      </w:r>
      <w:r>
        <w:rPr>
          <w:color w:val="231F20"/>
          <w:spacing w:val="8"/>
          <w:sz w:val="24"/>
        </w:rPr>
        <w:t xml:space="preserve"> </w:t>
      </w:r>
      <w:r>
        <w:rPr>
          <w:color w:val="231F20"/>
          <w:sz w:val="24"/>
        </w:rPr>
        <w:t>support</w:t>
      </w:r>
      <w:r>
        <w:rPr>
          <w:color w:val="231F20"/>
          <w:spacing w:val="7"/>
          <w:sz w:val="24"/>
        </w:rPr>
        <w:t xml:space="preserve"> </w:t>
      </w:r>
      <w:r>
        <w:rPr>
          <w:color w:val="231F20"/>
          <w:sz w:val="24"/>
        </w:rPr>
        <w:t>on</w:t>
      </w:r>
      <w:r>
        <w:rPr>
          <w:color w:val="231F20"/>
          <w:spacing w:val="8"/>
          <w:sz w:val="24"/>
        </w:rPr>
        <w:t xml:space="preserve"> </w:t>
      </w:r>
      <w:r>
        <w:rPr>
          <w:color w:val="231F20"/>
          <w:sz w:val="24"/>
        </w:rPr>
        <w:t>other</w:t>
      </w:r>
      <w:r>
        <w:rPr>
          <w:color w:val="231F20"/>
          <w:spacing w:val="8"/>
          <w:sz w:val="24"/>
        </w:rPr>
        <w:t xml:space="preserve"> </w:t>
      </w:r>
      <w:r>
        <w:rPr>
          <w:color w:val="231F20"/>
          <w:sz w:val="24"/>
        </w:rPr>
        <w:t>governance</w:t>
      </w:r>
      <w:r>
        <w:rPr>
          <w:color w:val="231F20"/>
          <w:spacing w:val="8"/>
          <w:sz w:val="24"/>
        </w:rPr>
        <w:t xml:space="preserve"> </w:t>
      </w:r>
      <w:r>
        <w:rPr>
          <w:color w:val="231F20"/>
          <w:spacing w:val="-2"/>
          <w:sz w:val="24"/>
        </w:rPr>
        <w:t>matters?</w:t>
      </w:r>
    </w:p>
    <w:p w:rsidR="00B722CB" w:rsidRDefault="00000000">
      <w:pPr>
        <w:pStyle w:val="ListParagraph"/>
        <w:numPr>
          <w:ilvl w:val="0"/>
          <w:numId w:val="1"/>
        </w:numPr>
        <w:tabs>
          <w:tab w:val="left" w:pos="819"/>
        </w:tabs>
        <w:spacing w:before="12"/>
        <w:ind w:left="819" w:hanging="359"/>
        <w:rPr>
          <w:sz w:val="24"/>
        </w:rPr>
      </w:pPr>
      <w:r>
        <w:rPr>
          <w:color w:val="231F20"/>
          <w:sz w:val="24"/>
        </w:rPr>
        <w:t>Does</w:t>
      </w:r>
      <w:r>
        <w:rPr>
          <w:color w:val="231F20"/>
          <w:spacing w:val="6"/>
          <w:sz w:val="24"/>
        </w:rPr>
        <w:t xml:space="preserve"> </w:t>
      </w:r>
      <w:r>
        <w:rPr>
          <w:color w:val="231F20"/>
          <w:sz w:val="24"/>
        </w:rPr>
        <w:t>the</w:t>
      </w:r>
      <w:r>
        <w:rPr>
          <w:color w:val="231F20"/>
          <w:spacing w:val="8"/>
          <w:sz w:val="24"/>
        </w:rPr>
        <w:t xml:space="preserve"> </w:t>
      </w:r>
      <w:r>
        <w:rPr>
          <w:color w:val="231F20"/>
          <w:sz w:val="24"/>
        </w:rPr>
        <w:t>decision-making</w:t>
      </w:r>
      <w:r>
        <w:rPr>
          <w:color w:val="231F20"/>
          <w:spacing w:val="8"/>
          <w:sz w:val="24"/>
        </w:rPr>
        <w:t xml:space="preserve"> </w:t>
      </w:r>
      <w:r>
        <w:rPr>
          <w:color w:val="231F20"/>
          <w:sz w:val="24"/>
        </w:rPr>
        <w:t>model</w:t>
      </w:r>
      <w:r>
        <w:rPr>
          <w:color w:val="231F20"/>
          <w:spacing w:val="8"/>
          <w:sz w:val="24"/>
        </w:rPr>
        <w:t xml:space="preserve"> </w:t>
      </w:r>
      <w:r>
        <w:rPr>
          <w:color w:val="231F20"/>
          <w:sz w:val="24"/>
        </w:rPr>
        <w:t>of</w:t>
      </w:r>
      <w:r>
        <w:rPr>
          <w:color w:val="231F20"/>
          <w:spacing w:val="8"/>
          <w:sz w:val="24"/>
        </w:rPr>
        <w:t xml:space="preserve"> </w:t>
      </w:r>
      <w:r>
        <w:rPr>
          <w:color w:val="231F20"/>
          <w:sz w:val="24"/>
        </w:rPr>
        <w:t>the</w:t>
      </w:r>
      <w:r>
        <w:rPr>
          <w:color w:val="231F20"/>
          <w:spacing w:val="8"/>
          <w:sz w:val="24"/>
        </w:rPr>
        <w:t xml:space="preserve"> </w:t>
      </w:r>
      <w:r>
        <w:rPr>
          <w:color w:val="231F20"/>
          <w:sz w:val="24"/>
        </w:rPr>
        <w:t>church</w:t>
      </w:r>
      <w:r>
        <w:rPr>
          <w:color w:val="231F20"/>
          <w:spacing w:val="8"/>
          <w:sz w:val="24"/>
        </w:rPr>
        <w:t xml:space="preserve"> </w:t>
      </w:r>
      <w:r>
        <w:rPr>
          <w:color w:val="231F20"/>
          <w:sz w:val="24"/>
        </w:rPr>
        <w:t>fit</w:t>
      </w:r>
      <w:r>
        <w:rPr>
          <w:color w:val="231F20"/>
          <w:spacing w:val="8"/>
          <w:sz w:val="24"/>
        </w:rPr>
        <w:t xml:space="preserve"> </w:t>
      </w:r>
      <w:r>
        <w:rPr>
          <w:color w:val="231F20"/>
          <w:sz w:val="24"/>
        </w:rPr>
        <w:t>more</w:t>
      </w:r>
      <w:r>
        <w:rPr>
          <w:color w:val="231F20"/>
          <w:spacing w:val="8"/>
          <w:sz w:val="24"/>
        </w:rPr>
        <w:t xml:space="preserve"> </w:t>
      </w:r>
      <w:r>
        <w:rPr>
          <w:color w:val="231F20"/>
          <w:sz w:val="24"/>
        </w:rPr>
        <w:t>closely</w:t>
      </w:r>
      <w:r>
        <w:rPr>
          <w:color w:val="231F20"/>
          <w:spacing w:val="8"/>
          <w:sz w:val="24"/>
        </w:rPr>
        <w:t xml:space="preserve"> </w:t>
      </w:r>
      <w:r>
        <w:rPr>
          <w:color w:val="231F20"/>
          <w:sz w:val="24"/>
        </w:rPr>
        <w:t>with</w:t>
      </w:r>
      <w:r>
        <w:rPr>
          <w:color w:val="231F20"/>
          <w:spacing w:val="8"/>
          <w:sz w:val="24"/>
        </w:rPr>
        <w:t xml:space="preserve"> </w:t>
      </w:r>
      <w:r>
        <w:rPr>
          <w:color w:val="231F20"/>
          <w:sz w:val="24"/>
        </w:rPr>
        <w:t>any</w:t>
      </w:r>
      <w:r>
        <w:rPr>
          <w:color w:val="231F20"/>
          <w:spacing w:val="8"/>
          <w:sz w:val="24"/>
        </w:rPr>
        <w:t xml:space="preserve"> </w:t>
      </w:r>
      <w:r>
        <w:rPr>
          <w:color w:val="231F20"/>
          <w:sz w:val="24"/>
        </w:rPr>
        <w:t>one</w:t>
      </w:r>
      <w:r>
        <w:rPr>
          <w:color w:val="231F20"/>
          <w:spacing w:val="9"/>
          <w:sz w:val="24"/>
        </w:rPr>
        <w:t xml:space="preserve"> </w:t>
      </w:r>
      <w:r>
        <w:rPr>
          <w:color w:val="231F20"/>
          <w:spacing w:val="-2"/>
          <w:sz w:val="24"/>
        </w:rPr>
        <w:t>denomination?</w:t>
      </w:r>
    </w:p>
    <w:p w:rsidR="00B722CB" w:rsidRDefault="00000000">
      <w:pPr>
        <w:pStyle w:val="ListParagraph"/>
        <w:numPr>
          <w:ilvl w:val="0"/>
          <w:numId w:val="1"/>
        </w:numPr>
        <w:tabs>
          <w:tab w:val="left" w:pos="819"/>
        </w:tabs>
        <w:spacing w:before="12"/>
        <w:ind w:left="819" w:hanging="359"/>
        <w:rPr>
          <w:sz w:val="24"/>
        </w:rPr>
      </w:pPr>
      <w:r>
        <w:rPr>
          <w:color w:val="231F20"/>
          <w:sz w:val="24"/>
        </w:rPr>
        <w:t>Who</w:t>
      </w:r>
      <w:r>
        <w:rPr>
          <w:color w:val="231F20"/>
          <w:spacing w:val="4"/>
          <w:sz w:val="24"/>
        </w:rPr>
        <w:t xml:space="preserve"> </w:t>
      </w:r>
      <w:r>
        <w:rPr>
          <w:color w:val="231F20"/>
          <w:sz w:val="24"/>
        </w:rPr>
        <w:t>owns</w:t>
      </w:r>
      <w:r>
        <w:rPr>
          <w:color w:val="231F20"/>
          <w:spacing w:val="6"/>
          <w:sz w:val="24"/>
        </w:rPr>
        <w:t xml:space="preserve"> </w:t>
      </w:r>
      <w:r>
        <w:rPr>
          <w:color w:val="231F20"/>
          <w:sz w:val="24"/>
        </w:rPr>
        <w:t>the</w:t>
      </w:r>
      <w:r>
        <w:rPr>
          <w:color w:val="231F20"/>
          <w:spacing w:val="6"/>
          <w:sz w:val="24"/>
        </w:rPr>
        <w:t xml:space="preserve"> </w:t>
      </w:r>
      <w:r>
        <w:rPr>
          <w:color w:val="231F20"/>
          <w:sz w:val="24"/>
        </w:rPr>
        <w:t>building</w:t>
      </w:r>
      <w:r>
        <w:rPr>
          <w:color w:val="231F20"/>
          <w:spacing w:val="6"/>
          <w:sz w:val="24"/>
        </w:rPr>
        <w:t xml:space="preserve"> </w:t>
      </w:r>
      <w:r>
        <w:rPr>
          <w:color w:val="231F20"/>
          <w:sz w:val="24"/>
        </w:rPr>
        <w:t>and</w:t>
      </w:r>
      <w:r>
        <w:rPr>
          <w:color w:val="231F20"/>
          <w:spacing w:val="6"/>
          <w:sz w:val="24"/>
        </w:rPr>
        <w:t xml:space="preserve"> </w:t>
      </w:r>
      <w:r>
        <w:rPr>
          <w:color w:val="231F20"/>
          <w:sz w:val="24"/>
        </w:rPr>
        <w:t>what</w:t>
      </w:r>
      <w:r>
        <w:rPr>
          <w:color w:val="231F20"/>
          <w:spacing w:val="6"/>
          <w:sz w:val="24"/>
        </w:rPr>
        <w:t xml:space="preserve"> </w:t>
      </w:r>
      <w:r>
        <w:rPr>
          <w:color w:val="231F20"/>
          <w:sz w:val="24"/>
        </w:rPr>
        <w:t>are</w:t>
      </w:r>
      <w:r>
        <w:rPr>
          <w:color w:val="231F20"/>
          <w:spacing w:val="6"/>
          <w:sz w:val="24"/>
        </w:rPr>
        <w:t xml:space="preserve"> </w:t>
      </w:r>
      <w:r>
        <w:rPr>
          <w:color w:val="231F20"/>
          <w:sz w:val="24"/>
        </w:rPr>
        <w:t>the</w:t>
      </w:r>
      <w:r>
        <w:rPr>
          <w:color w:val="231F20"/>
          <w:spacing w:val="6"/>
          <w:sz w:val="24"/>
        </w:rPr>
        <w:t xml:space="preserve"> </w:t>
      </w:r>
      <w:r>
        <w:rPr>
          <w:color w:val="231F20"/>
          <w:sz w:val="24"/>
        </w:rPr>
        <w:t>requirements</w:t>
      </w:r>
      <w:r>
        <w:rPr>
          <w:color w:val="231F20"/>
          <w:spacing w:val="6"/>
          <w:sz w:val="24"/>
        </w:rPr>
        <w:t xml:space="preserve"> </w:t>
      </w:r>
      <w:r>
        <w:rPr>
          <w:color w:val="231F20"/>
          <w:sz w:val="24"/>
        </w:rPr>
        <w:t>of</w:t>
      </w:r>
      <w:r>
        <w:rPr>
          <w:color w:val="231F20"/>
          <w:spacing w:val="6"/>
          <w:sz w:val="24"/>
        </w:rPr>
        <w:t xml:space="preserve"> </w:t>
      </w:r>
      <w:r>
        <w:rPr>
          <w:color w:val="231F20"/>
          <w:sz w:val="24"/>
        </w:rPr>
        <w:t>the</w:t>
      </w:r>
      <w:r>
        <w:rPr>
          <w:color w:val="231F20"/>
          <w:spacing w:val="6"/>
          <w:sz w:val="24"/>
        </w:rPr>
        <w:t xml:space="preserve"> </w:t>
      </w:r>
      <w:r>
        <w:rPr>
          <w:color w:val="231F20"/>
          <w:sz w:val="24"/>
        </w:rPr>
        <w:t>church</w:t>
      </w:r>
      <w:r>
        <w:rPr>
          <w:color w:val="231F20"/>
          <w:spacing w:val="6"/>
          <w:sz w:val="24"/>
        </w:rPr>
        <w:t xml:space="preserve"> </w:t>
      </w:r>
      <w:r>
        <w:rPr>
          <w:color w:val="231F20"/>
          <w:spacing w:val="-2"/>
          <w:sz w:val="24"/>
        </w:rPr>
        <w:t>insurer(s)?</w:t>
      </w:r>
    </w:p>
    <w:p w:rsidR="00B722CB" w:rsidRDefault="00B722CB">
      <w:pPr>
        <w:pStyle w:val="BodyText"/>
        <w:spacing w:before="23"/>
        <w:ind w:left="0"/>
      </w:pPr>
    </w:p>
    <w:p w:rsidR="00B722CB" w:rsidRDefault="00000000">
      <w:pPr>
        <w:pStyle w:val="BodyText"/>
        <w:spacing w:before="1" w:line="249" w:lineRule="auto"/>
        <w:ind w:right="498"/>
      </w:pPr>
      <w:r>
        <w:rPr>
          <w:color w:val="231F20"/>
        </w:rPr>
        <w:t>It is recommended that at the point of deciding upon a policy (for ratification by the denominations’ relevant authorities – see below), the rationale is included at the point of submission for approval.</w:t>
      </w:r>
    </w:p>
    <w:p w:rsidR="00B722CB" w:rsidRDefault="00B722CB">
      <w:pPr>
        <w:pStyle w:val="BodyText"/>
        <w:spacing w:before="14"/>
        <w:ind w:left="0"/>
      </w:pPr>
    </w:p>
    <w:p w:rsidR="00B722CB" w:rsidRDefault="00000000">
      <w:pPr>
        <w:pStyle w:val="BodyText"/>
        <w:spacing w:before="1" w:line="249" w:lineRule="auto"/>
        <w:ind w:right="498"/>
      </w:pPr>
      <w:r>
        <w:rPr>
          <w:color w:val="231F20"/>
        </w:rPr>
        <w:t>The trustees of the LEP should adopt the safeguarding policy and guidance of one of the participating denominations and apply that in all aspects of safeguarding practice.</w:t>
      </w:r>
    </w:p>
    <w:p w:rsidR="00B722CB" w:rsidRDefault="00000000">
      <w:pPr>
        <w:pStyle w:val="BodyText"/>
        <w:spacing w:before="2" w:line="249" w:lineRule="auto"/>
        <w:ind w:right="684"/>
      </w:pPr>
      <w:r>
        <w:rPr>
          <w:color w:val="231F20"/>
        </w:rPr>
        <w:t>The safeguarding policy and procedures (and any subsequent amendments) must be ratified</w:t>
      </w:r>
      <w:r>
        <w:rPr>
          <w:color w:val="231F20"/>
          <w:spacing w:val="80"/>
        </w:rPr>
        <w:t xml:space="preserve"> </w:t>
      </w:r>
      <w:r>
        <w:rPr>
          <w:color w:val="231F20"/>
        </w:rPr>
        <w:t>by the relevant authority of each participating denomination. A copy of, or electronic link to, the ratified policy must be sent to the safeguarding officer nominated by the relevant authority for each participating denomination. Safeguarding teams of all member denominations need to</w:t>
      </w:r>
    </w:p>
    <w:p w:rsidR="00B722CB" w:rsidRDefault="00000000">
      <w:pPr>
        <w:pStyle w:val="BodyText"/>
        <w:spacing w:before="4" w:line="249" w:lineRule="auto"/>
        <w:ind w:right="498"/>
      </w:pPr>
      <w:r>
        <w:rPr>
          <w:color w:val="231F20"/>
        </w:rPr>
        <w:t>be informed which policy the LEP has adopted, and once that decision is made, the LEP must adhere to the adopted policy.</w:t>
      </w:r>
    </w:p>
    <w:p w:rsidR="00B722CB" w:rsidRDefault="00B722CB">
      <w:pPr>
        <w:pStyle w:val="BodyText"/>
        <w:spacing w:before="13"/>
        <w:ind w:left="0"/>
      </w:pPr>
    </w:p>
    <w:p w:rsidR="00B722CB" w:rsidRDefault="00000000">
      <w:pPr>
        <w:pStyle w:val="BodyText"/>
        <w:spacing w:line="249" w:lineRule="auto"/>
        <w:ind w:right="498"/>
      </w:pPr>
      <w:r>
        <w:rPr>
          <w:color w:val="231F20"/>
        </w:rPr>
        <w:t>Safeguarding teams in each denomination must understand and work within the policy and procedures an LEP has adopted, particularly where these procedures are different to their own. They will of course liaise with their denomination upon any matters of concern but should take advice on matters of policy from the denominational safeguarding team who are responsible for the safeguarding policy.</w:t>
      </w:r>
    </w:p>
    <w:p w:rsidR="00B722CB" w:rsidRDefault="00B722CB">
      <w:pPr>
        <w:pStyle w:val="BodyText"/>
        <w:spacing w:before="28"/>
        <w:ind w:left="0"/>
      </w:pPr>
    </w:p>
    <w:p w:rsidR="00B722CB" w:rsidRDefault="00000000">
      <w:pPr>
        <w:pStyle w:val="Heading1"/>
        <w:numPr>
          <w:ilvl w:val="0"/>
          <w:numId w:val="2"/>
        </w:numPr>
        <w:tabs>
          <w:tab w:val="left" w:pos="1179"/>
        </w:tabs>
        <w:ind w:hanging="719"/>
      </w:pPr>
      <w:r>
        <w:rPr>
          <w:color w:val="231F20"/>
        </w:rPr>
        <w:t>Church</w:t>
      </w:r>
      <w:r>
        <w:rPr>
          <w:color w:val="231F20"/>
          <w:spacing w:val="15"/>
        </w:rPr>
        <w:t xml:space="preserve"> </w:t>
      </w:r>
      <w:r>
        <w:rPr>
          <w:color w:val="231F20"/>
        </w:rPr>
        <w:t>Safeguarding</w:t>
      </w:r>
      <w:r>
        <w:rPr>
          <w:color w:val="231F20"/>
          <w:spacing w:val="15"/>
        </w:rPr>
        <w:t xml:space="preserve"> </w:t>
      </w:r>
      <w:r>
        <w:rPr>
          <w:color w:val="231F20"/>
        </w:rPr>
        <w:t>Officers</w:t>
      </w:r>
      <w:r>
        <w:rPr>
          <w:color w:val="231F20"/>
          <w:spacing w:val="15"/>
        </w:rPr>
        <w:t xml:space="preserve"> </w:t>
      </w:r>
      <w:r>
        <w:rPr>
          <w:color w:val="231F20"/>
        </w:rPr>
        <w:t>and</w:t>
      </w:r>
      <w:r>
        <w:rPr>
          <w:color w:val="231F20"/>
          <w:spacing w:val="16"/>
        </w:rPr>
        <w:t xml:space="preserve"> </w:t>
      </w:r>
      <w:r>
        <w:rPr>
          <w:color w:val="231F20"/>
          <w:spacing w:val="-2"/>
        </w:rPr>
        <w:t>Trustees</w:t>
      </w:r>
    </w:p>
    <w:p w:rsidR="00B722CB" w:rsidRDefault="00000000">
      <w:pPr>
        <w:pStyle w:val="BodyText"/>
        <w:spacing w:before="3" w:line="249" w:lineRule="auto"/>
        <w:ind w:right="684"/>
      </w:pPr>
      <w:r>
        <w:rPr>
          <w:color w:val="231F20"/>
        </w:rPr>
        <w:t xml:space="preserve">The Charity Commission is clear that safeguarding is the responsibility of all trustees. It is recommended that a safeguarding trustee is appointed; however, it should be clear that they are not to be the only person among the trustees who understands and is responsible for </w:t>
      </w:r>
      <w:r>
        <w:rPr>
          <w:color w:val="231F20"/>
          <w:spacing w:val="-2"/>
        </w:rPr>
        <w:t>safeguarding.</w:t>
      </w:r>
    </w:p>
    <w:p w:rsidR="00B722CB" w:rsidRDefault="00B722CB">
      <w:pPr>
        <w:pStyle w:val="BodyText"/>
        <w:spacing w:before="16"/>
        <w:ind w:left="0"/>
      </w:pPr>
    </w:p>
    <w:p w:rsidR="00B722CB" w:rsidRDefault="00000000">
      <w:pPr>
        <w:pStyle w:val="BodyText"/>
      </w:pPr>
      <w:r>
        <w:rPr>
          <w:color w:val="231F20"/>
        </w:rPr>
        <w:t>Each</w:t>
      </w:r>
      <w:r>
        <w:rPr>
          <w:color w:val="231F20"/>
          <w:spacing w:val="6"/>
        </w:rPr>
        <w:t xml:space="preserve"> </w:t>
      </w:r>
      <w:r>
        <w:rPr>
          <w:color w:val="231F20"/>
        </w:rPr>
        <w:t>LEP</w:t>
      </w:r>
      <w:r>
        <w:rPr>
          <w:color w:val="231F20"/>
          <w:spacing w:val="6"/>
        </w:rPr>
        <w:t xml:space="preserve"> </w:t>
      </w:r>
      <w:r>
        <w:rPr>
          <w:color w:val="231F20"/>
        </w:rPr>
        <w:t>must</w:t>
      </w:r>
      <w:r>
        <w:rPr>
          <w:color w:val="231F20"/>
          <w:spacing w:val="6"/>
        </w:rPr>
        <w:t xml:space="preserve"> </w:t>
      </w:r>
      <w:r>
        <w:rPr>
          <w:color w:val="231F20"/>
        </w:rPr>
        <w:t>appoint</w:t>
      </w:r>
      <w:r>
        <w:rPr>
          <w:color w:val="231F20"/>
          <w:spacing w:val="7"/>
        </w:rPr>
        <w:t xml:space="preserve"> </w:t>
      </w:r>
      <w:r>
        <w:rPr>
          <w:color w:val="231F20"/>
        </w:rPr>
        <w:t>a</w:t>
      </w:r>
      <w:r>
        <w:rPr>
          <w:color w:val="231F20"/>
          <w:spacing w:val="6"/>
        </w:rPr>
        <w:t xml:space="preserve"> </w:t>
      </w:r>
      <w:r>
        <w:rPr>
          <w:color w:val="231F20"/>
        </w:rPr>
        <w:t>Safeguarding</w:t>
      </w:r>
      <w:r>
        <w:rPr>
          <w:color w:val="231F20"/>
          <w:spacing w:val="6"/>
        </w:rPr>
        <w:t xml:space="preserve"> </w:t>
      </w:r>
      <w:r>
        <w:rPr>
          <w:color w:val="231F20"/>
        </w:rPr>
        <w:t>Officer/Designated</w:t>
      </w:r>
      <w:r>
        <w:rPr>
          <w:color w:val="231F20"/>
          <w:spacing w:val="7"/>
        </w:rPr>
        <w:t xml:space="preserve"> </w:t>
      </w:r>
      <w:r>
        <w:rPr>
          <w:color w:val="231F20"/>
        </w:rPr>
        <w:t>Person</w:t>
      </w:r>
      <w:r>
        <w:rPr>
          <w:color w:val="231F20"/>
          <w:spacing w:val="6"/>
        </w:rPr>
        <w:t xml:space="preserve"> </w:t>
      </w:r>
      <w:r>
        <w:rPr>
          <w:color w:val="231F20"/>
        </w:rPr>
        <w:t>who</w:t>
      </w:r>
      <w:r>
        <w:rPr>
          <w:color w:val="231F20"/>
          <w:spacing w:val="6"/>
        </w:rPr>
        <w:t xml:space="preserve"> </w:t>
      </w:r>
      <w:r>
        <w:rPr>
          <w:color w:val="231F20"/>
        </w:rPr>
        <w:t>has</w:t>
      </w:r>
      <w:r>
        <w:rPr>
          <w:color w:val="231F20"/>
          <w:spacing w:val="6"/>
        </w:rPr>
        <w:t xml:space="preserve"> </w:t>
      </w:r>
      <w:r>
        <w:rPr>
          <w:color w:val="231F20"/>
          <w:spacing w:val="-2"/>
        </w:rPr>
        <w:t>appropriate</w:t>
      </w:r>
    </w:p>
    <w:p w:rsidR="00B722CB" w:rsidRDefault="00000000">
      <w:pPr>
        <w:pStyle w:val="BodyText"/>
        <w:spacing w:before="12"/>
      </w:pPr>
      <w:r>
        <w:rPr>
          <w:color w:val="231F20"/>
        </w:rPr>
        <w:t>safeguarding</w:t>
      </w:r>
      <w:r>
        <w:rPr>
          <w:color w:val="231F20"/>
          <w:spacing w:val="5"/>
        </w:rPr>
        <w:t xml:space="preserve"> </w:t>
      </w:r>
      <w:r>
        <w:rPr>
          <w:color w:val="231F20"/>
        </w:rPr>
        <w:t>knowledge,</w:t>
      </w:r>
      <w:r>
        <w:rPr>
          <w:color w:val="231F20"/>
          <w:spacing w:val="7"/>
        </w:rPr>
        <w:t xml:space="preserve"> </w:t>
      </w:r>
      <w:r>
        <w:rPr>
          <w:color w:val="231F20"/>
        </w:rPr>
        <w:t>skills,</w:t>
      </w:r>
      <w:r>
        <w:rPr>
          <w:color w:val="231F20"/>
          <w:spacing w:val="7"/>
        </w:rPr>
        <w:t xml:space="preserve"> </w:t>
      </w:r>
      <w:r>
        <w:rPr>
          <w:color w:val="231F20"/>
        </w:rPr>
        <w:t>and</w:t>
      </w:r>
      <w:r>
        <w:rPr>
          <w:color w:val="231F20"/>
          <w:spacing w:val="8"/>
        </w:rPr>
        <w:t xml:space="preserve"> </w:t>
      </w:r>
      <w:r>
        <w:rPr>
          <w:color w:val="231F20"/>
        </w:rPr>
        <w:t>experience</w:t>
      </w:r>
      <w:r>
        <w:rPr>
          <w:color w:val="231F20"/>
          <w:spacing w:val="7"/>
        </w:rPr>
        <w:t xml:space="preserve"> </w:t>
      </w:r>
      <w:r>
        <w:rPr>
          <w:color w:val="231F20"/>
        </w:rPr>
        <w:t>to</w:t>
      </w:r>
      <w:r>
        <w:rPr>
          <w:color w:val="231F20"/>
          <w:spacing w:val="7"/>
        </w:rPr>
        <w:t xml:space="preserve"> </w:t>
      </w:r>
      <w:r>
        <w:rPr>
          <w:color w:val="231F20"/>
        </w:rPr>
        <w:t>whom</w:t>
      </w:r>
      <w:r>
        <w:rPr>
          <w:color w:val="231F20"/>
          <w:spacing w:val="7"/>
        </w:rPr>
        <w:t xml:space="preserve"> </w:t>
      </w:r>
      <w:r>
        <w:rPr>
          <w:color w:val="231F20"/>
        </w:rPr>
        <w:t>the</w:t>
      </w:r>
      <w:r>
        <w:rPr>
          <w:color w:val="231F20"/>
          <w:spacing w:val="8"/>
        </w:rPr>
        <w:t xml:space="preserve"> </w:t>
      </w:r>
      <w:r>
        <w:rPr>
          <w:color w:val="231F20"/>
        </w:rPr>
        <w:t>trustees</w:t>
      </w:r>
      <w:r>
        <w:rPr>
          <w:color w:val="231F20"/>
          <w:spacing w:val="7"/>
        </w:rPr>
        <w:t xml:space="preserve"> </w:t>
      </w:r>
      <w:r>
        <w:rPr>
          <w:color w:val="231F20"/>
        </w:rPr>
        <w:t>can</w:t>
      </w:r>
      <w:r>
        <w:rPr>
          <w:color w:val="231F20"/>
          <w:spacing w:val="7"/>
        </w:rPr>
        <w:t xml:space="preserve"> </w:t>
      </w:r>
      <w:r>
        <w:rPr>
          <w:color w:val="231F20"/>
        </w:rPr>
        <w:t>delegate</w:t>
      </w:r>
      <w:r>
        <w:rPr>
          <w:color w:val="231F20"/>
          <w:spacing w:val="8"/>
        </w:rPr>
        <w:t xml:space="preserve"> </w:t>
      </w:r>
      <w:r>
        <w:rPr>
          <w:color w:val="231F20"/>
          <w:spacing w:val="-2"/>
        </w:rPr>
        <w:t>duties.</w:t>
      </w:r>
    </w:p>
    <w:p w:rsidR="00B722CB" w:rsidRDefault="00000000">
      <w:pPr>
        <w:pStyle w:val="BodyText"/>
        <w:spacing w:before="12" w:line="249" w:lineRule="auto"/>
        <w:ind w:right="498"/>
      </w:pPr>
      <w:r>
        <w:rPr>
          <w:color w:val="231F20"/>
        </w:rPr>
        <w:t>The Safeguarding Officer will act as a contact point for all safeguarding matters and take responsibility for addressing issues of policy, procedures, training and reporting. Trustees must be able to ensure that delegated authority is being properly exercised, through appropriate monitoring and reporting procedures.</w:t>
      </w:r>
    </w:p>
    <w:p w:rsidR="00B722CB" w:rsidRDefault="00B722CB">
      <w:pPr>
        <w:pStyle w:val="BodyText"/>
        <w:spacing w:before="16"/>
        <w:ind w:left="0"/>
      </w:pPr>
    </w:p>
    <w:p w:rsidR="00B722CB" w:rsidRDefault="00000000">
      <w:pPr>
        <w:pStyle w:val="BodyText"/>
      </w:pPr>
      <w:r>
        <w:rPr>
          <w:color w:val="231F20"/>
        </w:rPr>
        <w:t>Training</w:t>
      </w:r>
      <w:r>
        <w:rPr>
          <w:color w:val="231F20"/>
          <w:spacing w:val="4"/>
        </w:rPr>
        <w:t xml:space="preserve"> </w:t>
      </w:r>
      <w:r>
        <w:rPr>
          <w:color w:val="231F20"/>
        </w:rPr>
        <w:t>is</w:t>
      </w:r>
      <w:r>
        <w:rPr>
          <w:color w:val="231F20"/>
          <w:spacing w:val="4"/>
        </w:rPr>
        <w:t xml:space="preserve"> </w:t>
      </w:r>
      <w:r>
        <w:rPr>
          <w:color w:val="231F20"/>
        </w:rPr>
        <w:t>available</w:t>
      </w:r>
      <w:r>
        <w:rPr>
          <w:color w:val="231F20"/>
          <w:spacing w:val="5"/>
        </w:rPr>
        <w:t xml:space="preserve"> </w:t>
      </w:r>
      <w:r>
        <w:rPr>
          <w:color w:val="231F20"/>
        </w:rPr>
        <w:t>for</w:t>
      </w:r>
      <w:r>
        <w:rPr>
          <w:color w:val="231F20"/>
          <w:spacing w:val="4"/>
        </w:rPr>
        <w:t xml:space="preserve"> </w:t>
      </w:r>
      <w:r>
        <w:rPr>
          <w:color w:val="231F20"/>
        </w:rPr>
        <w:t>safeguarding</w:t>
      </w:r>
      <w:r>
        <w:rPr>
          <w:color w:val="231F20"/>
          <w:spacing w:val="5"/>
        </w:rPr>
        <w:t xml:space="preserve"> </w:t>
      </w:r>
      <w:r>
        <w:rPr>
          <w:color w:val="231F20"/>
        </w:rPr>
        <w:t>officers</w:t>
      </w:r>
      <w:r>
        <w:rPr>
          <w:color w:val="231F20"/>
          <w:spacing w:val="4"/>
        </w:rPr>
        <w:t xml:space="preserve"> </w:t>
      </w:r>
      <w:r>
        <w:rPr>
          <w:color w:val="231F20"/>
        </w:rPr>
        <w:t>and</w:t>
      </w:r>
      <w:r>
        <w:rPr>
          <w:color w:val="231F20"/>
          <w:spacing w:val="5"/>
        </w:rPr>
        <w:t xml:space="preserve"> </w:t>
      </w:r>
      <w:r>
        <w:rPr>
          <w:color w:val="231F20"/>
        </w:rPr>
        <w:t>trustees</w:t>
      </w:r>
      <w:r>
        <w:rPr>
          <w:color w:val="231F20"/>
          <w:spacing w:val="4"/>
        </w:rPr>
        <w:t xml:space="preserve"> </w:t>
      </w:r>
      <w:r>
        <w:rPr>
          <w:color w:val="231F20"/>
        </w:rPr>
        <w:t>in</w:t>
      </w:r>
      <w:r>
        <w:rPr>
          <w:color w:val="231F20"/>
          <w:spacing w:val="5"/>
        </w:rPr>
        <w:t xml:space="preserve"> </w:t>
      </w:r>
      <w:r>
        <w:rPr>
          <w:color w:val="231F20"/>
        </w:rPr>
        <w:t>all</w:t>
      </w:r>
      <w:r>
        <w:rPr>
          <w:color w:val="231F20"/>
          <w:spacing w:val="4"/>
        </w:rPr>
        <w:t xml:space="preserve"> </w:t>
      </w:r>
      <w:r>
        <w:rPr>
          <w:color w:val="231F20"/>
        </w:rPr>
        <w:t>denominations</w:t>
      </w:r>
      <w:r>
        <w:rPr>
          <w:color w:val="231F20"/>
          <w:spacing w:val="4"/>
        </w:rPr>
        <w:t xml:space="preserve"> </w:t>
      </w:r>
      <w:r>
        <w:rPr>
          <w:color w:val="231F20"/>
        </w:rPr>
        <w:t>and</w:t>
      </w:r>
      <w:r>
        <w:rPr>
          <w:color w:val="231F20"/>
          <w:spacing w:val="5"/>
        </w:rPr>
        <w:t xml:space="preserve"> </w:t>
      </w:r>
      <w:r>
        <w:rPr>
          <w:color w:val="231F20"/>
        </w:rPr>
        <w:t>this</w:t>
      </w:r>
      <w:r>
        <w:rPr>
          <w:color w:val="231F20"/>
          <w:spacing w:val="4"/>
        </w:rPr>
        <w:t xml:space="preserve"> </w:t>
      </w:r>
      <w:r>
        <w:rPr>
          <w:color w:val="231F20"/>
          <w:spacing w:val="-2"/>
        </w:rPr>
        <w:t>should</w:t>
      </w:r>
    </w:p>
    <w:p w:rsidR="00B722CB" w:rsidRDefault="00000000">
      <w:pPr>
        <w:pStyle w:val="BodyText"/>
        <w:spacing w:before="12"/>
      </w:pPr>
      <w:r>
        <w:rPr>
          <w:color w:val="231F20"/>
        </w:rPr>
        <w:t>align</w:t>
      </w:r>
      <w:r>
        <w:rPr>
          <w:color w:val="231F20"/>
          <w:spacing w:val="6"/>
        </w:rPr>
        <w:t xml:space="preserve"> </w:t>
      </w:r>
      <w:r>
        <w:rPr>
          <w:color w:val="231F20"/>
        </w:rPr>
        <w:t>with</w:t>
      </w:r>
      <w:r>
        <w:rPr>
          <w:color w:val="231F20"/>
          <w:spacing w:val="7"/>
        </w:rPr>
        <w:t xml:space="preserve"> </w:t>
      </w:r>
      <w:r>
        <w:rPr>
          <w:color w:val="231F20"/>
        </w:rPr>
        <w:t>the</w:t>
      </w:r>
      <w:r>
        <w:rPr>
          <w:color w:val="231F20"/>
          <w:spacing w:val="6"/>
        </w:rPr>
        <w:t xml:space="preserve"> </w:t>
      </w:r>
      <w:r>
        <w:rPr>
          <w:color w:val="231F20"/>
        </w:rPr>
        <w:t>adopted</w:t>
      </w:r>
      <w:r>
        <w:rPr>
          <w:color w:val="231F20"/>
          <w:spacing w:val="7"/>
        </w:rPr>
        <w:t xml:space="preserve"> </w:t>
      </w:r>
      <w:r>
        <w:rPr>
          <w:color w:val="231F20"/>
        </w:rPr>
        <w:t>denominational</w:t>
      </w:r>
      <w:r>
        <w:rPr>
          <w:color w:val="231F20"/>
          <w:spacing w:val="7"/>
        </w:rPr>
        <w:t xml:space="preserve"> </w:t>
      </w:r>
      <w:r>
        <w:rPr>
          <w:color w:val="231F20"/>
          <w:spacing w:val="-2"/>
        </w:rPr>
        <w:t>policy.</w:t>
      </w:r>
    </w:p>
    <w:p w:rsidR="00B722CB" w:rsidRDefault="00B722CB">
      <w:pPr>
        <w:pStyle w:val="BodyText"/>
        <w:spacing w:before="35"/>
        <w:ind w:left="0"/>
      </w:pPr>
    </w:p>
    <w:p w:rsidR="00B722CB" w:rsidRDefault="00000000">
      <w:pPr>
        <w:pStyle w:val="Heading1"/>
        <w:numPr>
          <w:ilvl w:val="0"/>
          <w:numId w:val="2"/>
        </w:numPr>
        <w:tabs>
          <w:tab w:val="left" w:pos="1179"/>
        </w:tabs>
        <w:ind w:hanging="719"/>
      </w:pPr>
      <w:r>
        <w:rPr>
          <w:color w:val="231F20"/>
        </w:rPr>
        <w:t>DBS</w:t>
      </w:r>
      <w:r>
        <w:rPr>
          <w:color w:val="231F20"/>
          <w:spacing w:val="9"/>
        </w:rPr>
        <w:t xml:space="preserve"> </w:t>
      </w:r>
      <w:r>
        <w:rPr>
          <w:color w:val="231F20"/>
          <w:spacing w:val="-2"/>
        </w:rPr>
        <w:t>checking</w:t>
      </w:r>
    </w:p>
    <w:p w:rsidR="00B722CB" w:rsidRDefault="00000000">
      <w:pPr>
        <w:pStyle w:val="BodyText"/>
        <w:spacing w:before="4" w:line="249" w:lineRule="auto"/>
        <w:ind w:right="350"/>
      </w:pPr>
      <w:r>
        <w:rPr>
          <w:color w:val="231F20"/>
        </w:rPr>
        <w:t>Each LEP should appoint at least one DBS verifier who will be expected to carry out DBS checks at the level and in the timeframe specified in the policy and procedure as required by their own denomination. All denominations publish guidance on DBS checks, and most denominations use an</w:t>
      </w:r>
      <w:r>
        <w:rPr>
          <w:color w:val="231F20"/>
          <w:spacing w:val="19"/>
        </w:rPr>
        <w:t xml:space="preserve"> </w:t>
      </w:r>
      <w:r>
        <w:rPr>
          <w:color w:val="231F20"/>
        </w:rPr>
        <w:t>umbrella</w:t>
      </w:r>
      <w:r>
        <w:rPr>
          <w:color w:val="231F20"/>
          <w:spacing w:val="19"/>
        </w:rPr>
        <w:t xml:space="preserve"> </w:t>
      </w:r>
      <w:proofErr w:type="spellStart"/>
      <w:r>
        <w:rPr>
          <w:color w:val="231F20"/>
        </w:rPr>
        <w:t>organisation</w:t>
      </w:r>
      <w:proofErr w:type="spellEnd"/>
      <w:r>
        <w:rPr>
          <w:color w:val="231F20"/>
          <w:spacing w:val="19"/>
        </w:rPr>
        <w:t xml:space="preserve"> </w:t>
      </w:r>
      <w:r>
        <w:rPr>
          <w:color w:val="231F20"/>
        </w:rPr>
        <w:t>through</w:t>
      </w:r>
      <w:r>
        <w:rPr>
          <w:color w:val="231F20"/>
          <w:spacing w:val="19"/>
        </w:rPr>
        <w:t xml:space="preserve"> </w:t>
      </w:r>
      <w:r>
        <w:rPr>
          <w:color w:val="231F20"/>
        </w:rPr>
        <w:t>which</w:t>
      </w:r>
      <w:r>
        <w:rPr>
          <w:color w:val="231F20"/>
          <w:spacing w:val="19"/>
        </w:rPr>
        <w:t xml:space="preserve"> </w:t>
      </w:r>
      <w:r>
        <w:rPr>
          <w:color w:val="231F20"/>
        </w:rPr>
        <w:t>checks</w:t>
      </w:r>
      <w:r>
        <w:rPr>
          <w:color w:val="231F20"/>
          <w:spacing w:val="19"/>
        </w:rPr>
        <w:t xml:space="preserve"> </w:t>
      </w:r>
      <w:r>
        <w:rPr>
          <w:color w:val="231F20"/>
        </w:rPr>
        <w:t>can</w:t>
      </w:r>
      <w:r>
        <w:rPr>
          <w:color w:val="231F20"/>
          <w:spacing w:val="19"/>
        </w:rPr>
        <w:t xml:space="preserve"> </w:t>
      </w:r>
      <w:r>
        <w:rPr>
          <w:color w:val="231F20"/>
        </w:rPr>
        <w:t>be</w:t>
      </w:r>
      <w:r>
        <w:rPr>
          <w:color w:val="231F20"/>
          <w:spacing w:val="19"/>
        </w:rPr>
        <w:t xml:space="preserve"> </w:t>
      </w:r>
      <w:r>
        <w:rPr>
          <w:color w:val="231F20"/>
        </w:rPr>
        <w:t>carried</w:t>
      </w:r>
      <w:r>
        <w:rPr>
          <w:color w:val="231F20"/>
          <w:spacing w:val="19"/>
        </w:rPr>
        <w:t xml:space="preserve"> </w:t>
      </w:r>
      <w:r>
        <w:rPr>
          <w:color w:val="231F20"/>
        </w:rPr>
        <w:t>out.</w:t>
      </w:r>
      <w:r>
        <w:rPr>
          <w:color w:val="231F20"/>
          <w:spacing w:val="19"/>
        </w:rPr>
        <w:t xml:space="preserve"> </w:t>
      </w:r>
      <w:r>
        <w:rPr>
          <w:color w:val="231F20"/>
        </w:rPr>
        <w:t>Each</w:t>
      </w:r>
      <w:r>
        <w:rPr>
          <w:color w:val="231F20"/>
          <w:spacing w:val="19"/>
        </w:rPr>
        <w:t xml:space="preserve"> </w:t>
      </w:r>
      <w:r>
        <w:rPr>
          <w:color w:val="231F20"/>
        </w:rPr>
        <w:t>LEP</w:t>
      </w:r>
      <w:r>
        <w:rPr>
          <w:color w:val="231F20"/>
          <w:spacing w:val="19"/>
        </w:rPr>
        <w:t xml:space="preserve"> </w:t>
      </w:r>
      <w:r>
        <w:rPr>
          <w:color w:val="231F20"/>
        </w:rPr>
        <w:t>should</w:t>
      </w:r>
      <w:r>
        <w:rPr>
          <w:color w:val="231F20"/>
          <w:spacing w:val="19"/>
        </w:rPr>
        <w:t xml:space="preserve"> </w:t>
      </w:r>
      <w:r>
        <w:rPr>
          <w:color w:val="231F20"/>
        </w:rPr>
        <w:t>use</w:t>
      </w:r>
      <w:r>
        <w:rPr>
          <w:color w:val="231F20"/>
          <w:spacing w:val="19"/>
        </w:rPr>
        <w:t xml:space="preserve"> </w:t>
      </w:r>
      <w:r>
        <w:rPr>
          <w:color w:val="231F20"/>
        </w:rPr>
        <w:t>the DBS service connected with the denomination’s adopted safeguarding policy and procedures.</w:t>
      </w:r>
    </w:p>
    <w:p w:rsidR="00B722CB" w:rsidRDefault="00000000">
      <w:pPr>
        <w:pStyle w:val="BodyText"/>
        <w:spacing w:before="4" w:line="249" w:lineRule="auto"/>
        <w:ind w:right="498"/>
      </w:pPr>
      <w:r>
        <w:rPr>
          <w:color w:val="231F20"/>
        </w:rPr>
        <w:t>The policy should be clear regarding the blemished disclosure process and how decisions are made about suitability for work with children and/or adults at risk, including where an Enhanced DBS (with or without barred list) is required by law. This process might also include a risk assessment (see Section 6).</w:t>
      </w:r>
    </w:p>
    <w:p w:rsidR="00B722CB" w:rsidRDefault="00B722CB">
      <w:pPr>
        <w:spacing w:line="249" w:lineRule="auto"/>
        <w:sectPr w:rsidR="00B722CB">
          <w:footerReference w:type="default" r:id="rId10"/>
          <w:pgSz w:w="11910" w:h="16840"/>
          <w:pgMar w:top="580" w:right="420" w:bottom="680" w:left="260" w:header="0" w:footer="495" w:gutter="0"/>
          <w:pgNumType w:start="2"/>
          <w:cols w:space="720"/>
        </w:sectPr>
      </w:pPr>
    </w:p>
    <w:p w:rsidR="00B722CB" w:rsidRDefault="00000000">
      <w:pPr>
        <w:pStyle w:val="BodyText"/>
        <w:spacing w:before="72" w:line="249" w:lineRule="auto"/>
        <w:ind w:right="498"/>
      </w:pPr>
      <w:r>
        <w:rPr>
          <w:color w:val="231F20"/>
        </w:rPr>
        <w:lastRenderedPageBreak/>
        <w:t xml:space="preserve">If there is any doubt regarding eligibility for DBS checks, advice should be sought from the denominational safeguarding team or from DBS outreach service. Contact details can be found here: The DBS Regional Outreach service – GOV.UK </w:t>
      </w:r>
      <w:r w:rsidR="00E92960">
        <w:rPr>
          <w:color w:val="231F20"/>
        </w:rPr>
        <w:t>(</w:t>
      </w:r>
      <w:r w:rsidR="00E92960" w:rsidRPr="00E92960">
        <w:rPr>
          <w:b/>
          <w:bCs/>
          <w:color w:val="231F20"/>
        </w:rPr>
        <w:t>www.gov.uk/guidance/the-dbs-regional-outreach-service</w:t>
      </w:r>
      <w:r>
        <w:rPr>
          <w:color w:val="231F20"/>
        </w:rPr>
        <w:t>)</w:t>
      </w:r>
    </w:p>
    <w:p w:rsidR="00B722CB" w:rsidRDefault="00B722CB">
      <w:pPr>
        <w:pStyle w:val="BodyText"/>
        <w:spacing w:before="25"/>
        <w:ind w:left="0"/>
      </w:pPr>
    </w:p>
    <w:p w:rsidR="00B722CB" w:rsidRDefault="00000000">
      <w:pPr>
        <w:pStyle w:val="Heading1"/>
        <w:numPr>
          <w:ilvl w:val="0"/>
          <w:numId w:val="2"/>
        </w:numPr>
        <w:tabs>
          <w:tab w:val="left" w:pos="1179"/>
        </w:tabs>
        <w:ind w:hanging="719"/>
      </w:pPr>
      <w:r>
        <w:rPr>
          <w:color w:val="231F20"/>
        </w:rPr>
        <w:t>Safeguarding</w:t>
      </w:r>
      <w:r>
        <w:rPr>
          <w:color w:val="231F20"/>
          <w:spacing w:val="26"/>
        </w:rPr>
        <w:t xml:space="preserve"> </w:t>
      </w:r>
      <w:r>
        <w:rPr>
          <w:color w:val="231F20"/>
          <w:spacing w:val="-2"/>
        </w:rPr>
        <w:t>training</w:t>
      </w:r>
    </w:p>
    <w:p w:rsidR="00B722CB" w:rsidRDefault="00000000">
      <w:pPr>
        <w:pStyle w:val="BodyText"/>
        <w:spacing w:before="4" w:line="249" w:lineRule="auto"/>
        <w:ind w:right="350"/>
      </w:pPr>
      <w:r>
        <w:rPr>
          <w:color w:val="231F20"/>
        </w:rPr>
        <w:t>Each denomination provides safeguarding training. In an LEP, its clergy, trustees, lay workers, employees and volunteers must attend the safeguarding training in accordance with the adopted policy. Records of training completed should be held by the LEP, and be available to the relevant body of each individual’s denomination. Some denominations may additionally require their ministers to undertake their own denominational safeguarding training unless a reciprocal agreement is in existence.</w:t>
      </w:r>
    </w:p>
    <w:p w:rsidR="00B722CB" w:rsidRDefault="00B722CB">
      <w:pPr>
        <w:pStyle w:val="BodyText"/>
        <w:spacing w:before="28"/>
        <w:ind w:left="0"/>
      </w:pPr>
    </w:p>
    <w:p w:rsidR="00B722CB" w:rsidRDefault="00000000">
      <w:pPr>
        <w:pStyle w:val="Heading1"/>
        <w:numPr>
          <w:ilvl w:val="0"/>
          <w:numId w:val="2"/>
        </w:numPr>
        <w:tabs>
          <w:tab w:val="left" w:pos="1179"/>
        </w:tabs>
        <w:ind w:hanging="719"/>
      </w:pPr>
      <w:r>
        <w:rPr>
          <w:color w:val="231F20"/>
        </w:rPr>
        <w:t>Risk</w:t>
      </w:r>
      <w:r>
        <w:rPr>
          <w:color w:val="231F20"/>
          <w:spacing w:val="12"/>
        </w:rPr>
        <w:t xml:space="preserve"> </w:t>
      </w:r>
      <w:r>
        <w:rPr>
          <w:color w:val="231F20"/>
          <w:spacing w:val="-2"/>
        </w:rPr>
        <w:t>assessment</w:t>
      </w:r>
    </w:p>
    <w:p w:rsidR="00B722CB" w:rsidRDefault="00000000">
      <w:pPr>
        <w:pStyle w:val="BodyText"/>
        <w:spacing w:before="3" w:line="249" w:lineRule="auto"/>
        <w:ind w:right="498"/>
      </w:pPr>
      <w:r>
        <w:rPr>
          <w:color w:val="231F20"/>
        </w:rPr>
        <w:t>When</w:t>
      </w:r>
      <w:r>
        <w:rPr>
          <w:color w:val="231F20"/>
          <w:spacing w:val="19"/>
        </w:rPr>
        <w:t xml:space="preserve"> </w:t>
      </w:r>
      <w:r>
        <w:rPr>
          <w:color w:val="231F20"/>
        </w:rPr>
        <w:t>the</w:t>
      </w:r>
      <w:r>
        <w:rPr>
          <w:color w:val="231F20"/>
          <w:spacing w:val="19"/>
        </w:rPr>
        <w:t xml:space="preserve"> </w:t>
      </w:r>
      <w:r>
        <w:rPr>
          <w:color w:val="231F20"/>
        </w:rPr>
        <w:t>need</w:t>
      </w:r>
      <w:r>
        <w:rPr>
          <w:color w:val="231F20"/>
          <w:spacing w:val="19"/>
        </w:rPr>
        <w:t xml:space="preserve"> </w:t>
      </w:r>
      <w:r>
        <w:rPr>
          <w:color w:val="231F20"/>
        </w:rPr>
        <w:t>for</w:t>
      </w:r>
      <w:r>
        <w:rPr>
          <w:color w:val="231F20"/>
          <w:spacing w:val="19"/>
        </w:rPr>
        <w:t xml:space="preserve"> </w:t>
      </w:r>
      <w:r>
        <w:rPr>
          <w:color w:val="231F20"/>
        </w:rPr>
        <w:t>safeguarding</w:t>
      </w:r>
      <w:r>
        <w:rPr>
          <w:color w:val="231F20"/>
          <w:spacing w:val="19"/>
        </w:rPr>
        <w:t xml:space="preserve"> </w:t>
      </w:r>
      <w:r>
        <w:rPr>
          <w:color w:val="231F20"/>
        </w:rPr>
        <w:t>risk</w:t>
      </w:r>
      <w:r>
        <w:rPr>
          <w:color w:val="231F20"/>
          <w:spacing w:val="19"/>
        </w:rPr>
        <w:t xml:space="preserve"> </w:t>
      </w:r>
      <w:r>
        <w:rPr>
          <w:color w:val="231F20"/>
        </w:rPr>
        <w:t>assessments</w:t>
      </w:r>
      <w:r>
        <w:rPr>
          <w:color w:val="231F20"/>
          <w:spacing w:val="19"/>
        </w:rPr>
        <w:t xml:space="preserve"> </w:t>
      </w:r>
      <w:proofErr w:type="gramStart"/>
      <w:r>
        <w:rPr>
          <w:color w:val="231F20"/>
        </w:rPr>
        <w:t>arise</w:t>
      </w:r>
      <w:proofErr w:type="gramEnd"/>
      <w:r>
        <w:rPr>
          <w:color w:val="231F20"/>
        </w:rPr>
        <w:t>,</w:t>
      </w:r>
      <w:r>
        <w:rPr>
          <w:color w:val="231F20"/>
          <w:spacing w:val="19"/>
        </w:rPr>
        <w:t xml:space="preserve"> </w:t>
      </w:r>
      <w:r>
        <w:rPr>
          <w:color w:val="231F20"/>
        </w:rPr>
        <w:t>an</w:t>
      </w:r>
      <w:r>
        <w:rPr>
          <w:color w:val="231F20"/>
          <w:spacing w:val="19"/>
        </w:rPr>
        <w:t xml:space="preserve"> </w:t>
      </w:r>
      <w:r>
        <w:rPr>
          <w:color w:val="231F20"/>
        </w:rPr>
        <w:t>LEP</w:t>
      </w:r>
      <w:r>
        <w:rPr>
          <w:color w:val="231F20"/>
          <w:spacing w:val="19"/>
        </w:rPr>
        <w:t xml:space="preserve"> </w:t>
      </w:r>
      <w:r>
        <w:rPr>
          <w:color w:val="231F20"/>
        </w:rPr>
        <w:t>will</w:t>
      </w:r>
      <w:r>
        <w:rPr>
          <w:color w:val="231F20"/>
          <w:spacing w:val="19"/>
        </w:rPr>
        <w:t xml:space="preserve"> </w:t>
      </w:r>
      <w:r>
        <w:rPr>
          <w:color w:val="231F20"/>
        </w:rPr>
        <w:t>follow</w:t>
      </w:r>
      <w:r>
        <w:rPr>
          <w:color w:val="231F20"/>
          <w:spacing w:val="19"/>
        </w:rPr>
        <w:t xml:space="preserve"> </w:t>
      </w:r>
      <w:r>
        <w:rPr>
          <w:color w:val="231F20"/>
        </w:rPr>
        <w:t>the</w:t>
      </w:r>
      <w:r>
        <w:rPr>
          <w:color w:val="231F20"/>
          <w:spacing w:val="19"/>
        </w:rPr>
        <w:t xml:space="preserve"> </w:t>
      </w:r>
      <w:r>
        <w:rPr>
          <w:color w:val="231F20"/>
        </w:rPr>
        <w:t>risk assessment process set out in the adopted policy and procedures and consult with the relevant</w:t>
      </w:r>
    </w:p>
    <w:p w:rsidR="00B722CB" w:rsidRDefault="00000000">
      <w:pPr>
        <w:pStyle w:val="BodyText"/>
        <w:spacing w:before="2" w:line="249" w:lineRule="auto"/>
        <w:ind w:right="498"/>
      </w:pPr>
      <w:r>
        <w:rPr>
          <w:color w:val="231F20"/>
        </w:rPr>
        <w:t>denominational safeguarding team. This also includes occasions where a safeguarding contract is necessary.</w:t>
      </w:r>
    </w:p>
    <w:p w:rsidR="00B722CB" w:rsidRDefault="00B722CB">
      <w:pPr>
        <w:pStyle w:val="BodyText"/>
        <w:spacing w:before="14"/>
        <w:ind w:left="0"/>
      </w:pPr>
    </w:p>
    <w:p w:rsidR="00B722CB" w:rsidRDefault="00000000">
      <w:pPr>
        <w:pStyle w:val="BodyText"/>
        <w:spacing w:line="249" w:lineRule="auto"/>
        <w:ind w:right="429"/>
      </w:pPr>
      <w:r>
        <w:rPr>
          <w:color w:val="231F20"/>
        </w:rPr>
        <w:t xml:space="preserve">In some denominations, the final decision on a risk assessment is made by the church safeguarding officer, in others the synod, regional, diocesan, national or </w:t>
      </w:r>
      <w:proofErr w:type="spellStart"/>
      <w:r>
        <w:rPr>
          <w:color w:val="231F20"/>
        </w:rPr>
        <w:t>connexional</w:t>
      </w:r>
      <w:proofErr w:type="spellEnd"/>
      <w:r>
        <w:rPr>
          <w:color w:val="231F20"/>
          <w:spacing w:val="80"/>
        </w:rPr>
        <w:t xml:space="preserve"> </w:t>
      </w:r>
      <w:r>
        <w:rPr>
          <w:color w:val="231F20"/>
        </w:rPr>
        <w:t>safeguarding officer makes the final decision. Denominations may have different risk assessment levels and processes for church roles.</w:t>
      </w:r>
    </w:p>
    <w:p w:rsidR="00B722CB" w:rsidRDefault="00B722CB">
      <w:pPr>
        <w:pStyle w:val="BodyText"/>
        <w:spacing w:before="16"/>
        <w:ind w:left="0"/>
      </w:pPr>
    </w:p>
    <w:p w:rsidR="00B722CB" w:rsidRDefault="00000000">
      <w:pPr>
        <w:pStyle w:val="BodyText"/>
        <w:spacing w:line="249" w:lineRule="auto"/>
        <w:ind w:right="498"/>
      </w:pPr>
      <w:r>
        <w:rPr>
          <w:color w:val="231F20"/>
        </w:rPr>
        <w:t>Where there is a lawful basis to do so, it may be necessary for the safeguarding officers in each denomination to share information pertinent to risk management. For instance, details of any mitigating</w:t>
      </w:r>
      <w:r>
        <w:rPr>
          <w:color w:val="231F20"/>
          <w:spacing w:val="19"/>
        </w:rPr>
        <w:t xml:space="preserve"> </w:t>
      </w:r>
      <w:r>
        <w:rPr>
          <w:color w:val="231F20"/>
        </w:rPr>
        <w:t>factors</w:t>
      </w:r>
      <w:r>
        <w:rPr>
          <w:color w:val="231F20"/>
          <w:spacing w:val="19"/>
        </w:rPr>
        <w:t xml:space="preserve"> </w:t>
      </w:r>
      <w:r>
        <w:rPr>
          <w:color w:val="231F20"/>
        </w:rPr>
        <w:t>relating</w:t>
      </w:r>
      <w:r>
        <w:rPr>
          <w:color w:val="231F20"/>
          <w:spacing w:val="19"/>
        </w:rPr>
        <w:t xml:space="preserve"> </w:t>
      </w:r>
      <w:r>
        <w:rPr>
          <w:color w:val="231F20"/>
        </w:rPr>
        <w:t>to</w:t>
      </w:r>
      <w:r>
        <w:rPr>
          <w:color w:val="231F20"/>
          <w:spacing w:val="19"/>
        </w:rPr>
        <w:t xml:space="preserve"> </w:t>
      </w:r>
      <w:r>
        <w:rPr>
          <w:color w:val="231F20"/>
        </w:rPr>
        <w:t>blemished</w:t>
      </w:r>
      <w:r>
        <w:rPr>
          <w:color w:val="231F20"/>
          <w:spacing w:val="19"/>
        </w:rPr>
        <w:t xml:space="preserve"> </w:t>
      </w:r>
      <w:r>
        <w:rPr>
          <w:color w:val="231F20"/>
        </w:rPr>
        <w:t>DBS</w:t>
      </w:r>
      <w:r>
        <w:rPr>
          <w:color w:val="231F20"/>
          <w:spacing w:val="19"/>
        </w:rPr>
        <w:t xml:space="preserve"> </w:t>
      </w:r>
      <w:r>
        <w:rPr>
          <w:color w:val="231F20"/>
        </w:rPr>
        <w:t>disclosures</w:t>
      </w:r>
      <w:r>
        <w:rPr>
          <w:color w:val="231F20"/>
          <w:spacing w:val="19"/>
        </w:rPr>
        <w:t xml:space="preserve"> </w:t>
      </w:r>
      <w:r>
        <w:rPr>
          <w:color w:val="231F20"/>
        </w:rPr>
        <w:t>or</w:t>
      </w:r>
      <w:r>
        <w:rPr>
          <w:color w:val="231F20"/>
          <w:spacing w:val="19"/>
        </w:rPr>
        <w:t xml:space="preserve"> </w:t>
      </w:r>
      <w:r>
        <w:rPr>
          <w:color w:val="231F20"/>
        </w:rPr>
        <w:t>any</w:t>
      </w:r>
      <w:r>
        <w:rPr>
          <w:color w:val="231F20"/>
          <w:spacing w:val="19"/>
        </w:rPr>
        <w:t xml:space="preserve"> </w:t>
      </w:r>
      <w:r>
        <w:rPr>
          <w:color w:val="231F20"/>
        </w:rPr>
        <w:t>other</w:t>
      </w:r>
      <w:r>
        <w:rPr>
          <w:color w:val="231F20"/>
          <w:spacing w:val="19"/>
        </w:rPr>
        <w:t xml:space="preserve"> </w:t>
      </w:r>
      <w:r>
        <w:rPr>
          <w:color w:val="231F20"/>
        </w:rPr>
        <w:t>concern</w:t>
      </w:r>
      <w:r>
        <w:rPr>
          <w:color w:val="231F20"/>
          <w:spacing w:val="19"/>
        </w:rPr>
        <w:t xml:space="preserve"> </w:t>
      </w:r>
      <w:r>
        <w:rPr>
          <w:color w:val="231F20"/>
        </w:rPr>
        <w:t>that</w:t>
      </w:r>
      <w:r>
        <w:rPr>
          <w:color w:val="231F20"/>
          <w:spacing w:val="19"/>
        </w:rPr>
        <w:t xml:space="preserve"> </w:t>
      </w:r>
      <w:r>
        <w:rPr>
          <w:color w:val="231F20"/>
        </w:rPr>
        <w:t>does</w:t>
      </w:r>
      <w:r>
        <w:rPr>
          <w:color w:val="231F20"/>
          <w:spacing w:val="19"/>
        </w:rPr>
        <w:t xml:space="preserve"> </w:t>
      </w:r>
      <w:r>
        <w:rPr>
          <w:color w:val="231F20"/>
        </w:rPr>
        <w:t>not reach the threshold for a criminal conviction but may indicate a risk to an individual attending the church or to the reputation of the wider Church.</w:t>
      </w:r>
    </w:p>
    <w:p w:rsidR="00B722CB" w:rsidRDefault="00B722CB">
      <w:pPr>
        <w:pStyle w:val="BodyText"/>
        <w:spacing w:before="28"/>
        <w:ind w:left="0"/>
      </w:pPr>
    </w:p>
    <w:p w:rsidR="00B722CB" w:rsidRDefault="00000000">
      <w:pPr>
        <w:pStyle w:val="Heading1"/>
        <w:numPr>
          <w:ilvl w:val="0"/>
          <w:numId w:val="2"/>
        </w:numPr>
        <w:tabs>
          <w:tab w:val="left" w:pos="1179"/>
        </w:tabs>
        <w:ind w:hanging="719"/>
      </w:pPr>
      <w:r>
        <w:rPr>
          <w:color w:val="231F20"/>
        </w:rPr>
        <w:t>Risk</w:t>
      </w:r>
      <w:r>
        <w:rPr>
          <w:color w:val="231F20"/>
          <w:spacing w:val="12"/>
        </w:rPr>
        <w:t xml:space="preserve"> </w:t>
      </w:r>
      <w:r>
        <w:rPr>
          <w:color w:val="231F20"/>
          <w:spacing w:val="-2"/>
        </w:rPr>
        <w:t>management</w:t>
      </w:r>
    </w:p>
    <w:p w:rsidR="00B722CB" w:rsidRDefault="00000000">
      <w:pPr>
        <w:pStyle w:val="Heading2"/>
        <w:numPr>
          <w:ilvl w:val="1"/>
          <w:numId w:val="2"/>
        </w:numPr>
        <w:tabs>
          <w:tab w:val="left" w:pos="1179"/>
        </w:tabs>
        <w:spacing w:before="291"/>
        <w:ind w:left="1179" w:hanging="719"/>
      </w:pPr>
      <w:r>
        <w:rPr>
          <w:color w:val="231F20"/>
        </w:rPr>
        <w:t>Safeguarding</w:t>
      </w:r>
      <w:r>
        <w:rPr>
          <w:color w:val="231F20"/>
          <w:spacing w:val="19"/>
        </w:rPr>
        <w:t xml:space="preserve"> </w:t>
      </w:r>
      <w:r>
        <w:rPr>
          <w:color w:val="231F20"/>
        </w:rPr>
        <w:t>contract/agreement</w:t>
      </w:r>
      <w:r>
        <w:rPr>
          <w:color w:val="231F20"/>
          <w:spacing w:val="21"/>
        </w:rPr>
        <w:t xml:space="preserve"> </w:t>
      </w:r>
      <w:r>
        <w:rPr>
          <w:color w:val="231F20"/>
        </w:rPr>
        <w:t>including</w:t>
      </w:r>
      <w:r>
        <w:rPr>
          <w:color w:val="231F20"/>
          <w:spacing w:val="21"/>
        </w:rPr>
        <w:t xml:space="preserve"> </w:t>
      </w:r>
      <w:r>
        <w:rPr>
          <w:color w:val="231F20"/>
        </w:rPr>
        <w:t>breach</w:t>
      </w:r>
      <w:r>
        <w:rPr>
          <w:color w:val="231F20"/>
          <w:spacing w:val="21"/>
        </w:rPr>
        <w:t xml:space="preserve"> </w:t>
      </w:r>
      <w:r>
        <w:rPr>
          <w:color w:val="231F20"/>
        </w:rPr>
        <w:t>of</w:t>
      </w:r>
      <w:r>
        <w:rPr>
          <w:color w:val="231F20"/>
          <w:spacing w:val="22"/>
        </w:rPr>
        <w:t xml:space="preserve"> </w:t>
      </w:r>
      <w:r>
        <w:rPr>
          <w:color w:val="231F20"/>
          <w:spacing w:val="-2"/>
        </w:rPr>
        <w:t>contract</w:t>
      </w:r>
    </w:p>
    <w:p w:rsidR="00B722CB" w:rsidRDefault="00000000">
      <w:pPr>
        <w:pStyle w:val="BodyText"/>
        <w:spacing w:before="12" w:line="249" w:lineRule="auto"/>
        <w:ind w:right="524"/>
      </w:pPr>
      <w:r>
        <w:rPr>
          <w:color w:val="231F20"/>
        </w:rPr>
        <w:t>The adopted safeguarding policy must be followed in managing those who present a risk in church</w:t>
      </w:r>
      <w:r>
        <w:rPr>
          <w:color w:val="231F20"/>
          <w:spacing w:val="21"/>
        </w:rPr>
        <w:t xml:space="preserve"> </w:t>
      </w:r>
      <w:r>
        <w:rPr>
          <w:color w:val="231F20"/>
        </w:rPr>
        <w:t>congregations.</w:t>
      </w:r>
      <w:r>
        <w:rPr>
          <w:color w:val="231F20"/>
          <w:spacing w:val="21"/>
        </w:rPr>
        <w:t xml:space="preserve"> </w:t>
      </w:r>
      <w:r>
        <w:rPr>
          <w:color w:val="231F20"/>
        </w:rPr>
        <w:t>Where</w:t>
      </w:r>
      <w:r>
        <w:rPr>
          <w:color w:val="231F20"/>
          <w:spacing w:val="21"/>
        </w:rPr>
        <w:t xml:space="preserve"> </w:t>
      </w:r>
      <w:r>
        <w:rPr>
          <w:color w:val="231F20"/>
        </w:rPr>
        <w:t>an</w:t>
      </w:r>
      <w:r>
        <w:rPr>
          <w:color w:val="231F20"/>
          <w:spacing w:val="21"/>
        </w:rPr>
        <w:t xml:space="preserve"> </w:t>
      </w:r>
      <w:r>
        <w:rPr>
          <w:color w:val="231F20"/>
        </w:rPr>
        <w:t>individual</w:t>
      </w:r>
      <w:r>
        <w:rPr>
          <w:color w:val="231F20"/>
          <w:spacing w:val="21"/>
        </w:rPr>
        <w:t xml:space="preserve"> </w:t>
      </w:r>
      <w:r>
        <w:rPr>
          <w:color w:val="231F20"/>
        </w:rPr>
        <w:t>who</w:t>
      </w:r>
      <w:r>
        <w:rPr>
          <w:color w:val="231F20"/>
          <w:spacing w:val="21"/>
        </w:rPr>
        <w:t xml:space="preserve"> </w:t>
      </w:r>
      <w:r>
        <w:rPr>
          <w:color w:val="231F20"/>
        </w:rPr>
        <w:t>is</w:t>
      </w:r>
      <w:r>
        <w:rPr>
          <w:color w:val="231F20"/>
          <w:spacing w:val="21"/>
        </w:rPr>
        <w:t xml:space="preserve"> </w:t>
      </w:r>
      <w:r>
        <w:rPr>
          <w:color w:val="231F20"/>
        </w:rPr>
        <w:t>currently</w:t>
      </w:r>
      <w:r>
        <w:rPr>
          <w:color w:val="231F20"/>
          <w:spacing w:val="21"/>
        </w:rPr>
        <w:t xml:space="preserve"> </w:t>
      </w:r>
      <w:r>
        <w:rPr>
          <w:color w:val="231F20"/>
        </w:rPr>
        <w:t>subject</w:t>
      </w:r>
      <w:r>
        <w:rPr>
          <w:color w:val="231F20"/>
          <w:spacing w:val="21"/>
        </w:rPr>
        <w:t xml:space="preserve"> </w:t>
      </w:r>
      <w:r>
        <w:rPr>
          <w:color w:val="231F20"/>
        </w:rPr>
        <w:t>to</w:t>
      </w:r>
      <w:r>
        <w:rPr>
          <w:color w:val="231F20"/>
          <w:spacing w:val="21"/>
        </w:rPr>
        <w:t xml:space="preserve"> </w:t>
      </w:r>
      <w:r>
        <w:rPr>
          <w:color w:val="231F20"/>
        </w:rPr>
        <w:t>a</w:t>
      </w:r>
      <w:r>
        <w:rPr>
          <w:color w:val="231F20"/>
          <w:spacing w:val="21"/>
        </w:rPr>
        <w:t xml:space="preserve"> </w:t>
      </w:r>
      <w:r>
        <w:rPr>
          <w:color w:val="231F20"/>
        </w:rPr>
        <w:t>safeguarding</w:t>
      </w:r>
      <w:r>
        <w:rPr>
          <w:color w:val="231F20"/>
          <w:spacing w:val="21"/>
        </w:rPr>
        <w:t xml:space="preserve"> </w:t>
      </w:r>
      <w:r>
        <w:rPr>
          <w:color w:val="231F20"/>
        </w:rPr>
        <w:t>contract or agreement states their intention to move to another LEP or church, there is an expectation</w:t>
      </w:r>
      <w:r>
        <w:rPr>
          <w:color w:val="231F20"/>
          <w:spacing w:val="40"/>
        </w:rPr>
        <w:t xml:space="preserve"> </w:t>
      </w:r>
      <w:r>
        <w:rPr>
          <w:color w:val="231F20"/>
        </w:rPr>
        <w:t>that the safeguarding officer who holds details of the contract will communicate this (including sharing a copy of the contract or agreement) with their relevant counterpart in the receiving LEP or church, whether or not it is of the same or a different denomination.</w:t>
      </w:r>
    </w:p>
    <w:p w:rsidR="00B722CB" w:rsidRDefault="00B722CB">
      <w:pPr>
        <w:pStyle w:val="BodyText"/>
        <w:spacing w:before="18"/>
        <w:ind w:left="0"/>
      </w:pPr>
    </w:p>
    <w:p w:rsidR="00B722CB" w:rsidRDefault="00000000">
      <w:pPr>
        <w:pStyle w:val="Heading2"/>
        <w:numPr>
          <w:ilvl w:val="1"/>
          <w:numId w:val="2"/>
        </w:numPr>
        <w:tabs>
          <w:tab w:val="left" w:pos="1179"/>
        </w:tabs>
        <w:ind w:left="1179" w:hanging="719"/>
      </w:pPr>
      <w:r>
        <w:rPr>
          <w:color w:val="231F20"/>
        </w:rPr>
        <w:t>Ordained</w:t>
      </w:r>
      <w:r>
        <w:rPr>
          <w:color w:val="231F20"/>
          <w:spacing w:val="14"/>
        </w:rPr>
        <w:t xml:space="preserve"> </w:t>
      </w:r>
      <w:r>
        <w:rPr>
          <w:color w:val="231F20"/>
        </w:rPr>
        <w:t>ministers</w:t>
      </w:r>
      <w:r>
        <w:rPr>
          <w:color w:val="231F20"/>
          <w:spacing w:val="17"/>
        </w:rPr>
        <w:t xml:space="preserve"> </w:t>
      </w:r>
      <w:r>
        <w:rPr>
          <w:color w:val="231F20"/>
        </w:rPr>
        <w:t>and</w:t>
      </w:r>
      <w:r>
        <w:rPr>
          <w:color w:val="231F20"/>
          <w:spacing w:val="16"/>
        </w:rPr>
        <w:t xml:space="preserve"> </w:t>
      </w:r>
      <w:r>
        <w:rPr>
          <w:color w:val="231F20"/>
        </w:rPr>
        <w:t>local</w:t>
      </w:r>
      <w:r>
        <w:rPr>
          <w:color w:val="231F20"/>
          <w:spacing w:val="17"/>
        </w:rPr>
        <w:t xml:space="preserve"> </w:t>
      </w:r>
      <w:r>
        <w:rPr>
          <w:color w:val="231F20"/>
        </w:rPr>
        <w:t>preachers</w:t>
      </w:r>
      <w:r>
        <w:rPr>
          <w:color w:val="231F20"/>
          <w:spacing w:val="16"/>
        </w:rPr>
        <w:t xml:space="preserve"> </w:t>
      </w:r>
      <w:r>
        <w:rPr>
          <w:color w:val="231F20"/>
        </w:rPr>
        <w:t>(where</w:t>
      </w:r>
      <w:r>
        <w:rPr>
          <w:color w:val="231F20"/>
          <w:spacing w:val="17"/>
        </w:rPr>
        <w:t xml:space="preserve"> </w:t>
      </w:r>
      <w:r>
        <w:rPr>
          <w:color w:val="231F20"/>
        </w:rPr>
        <w:t>discipline</w:t>
      </w:r>
      <w:r>
        <w:rPr>
          <w:color w:val="231F20"/>
          <w:spacing w:val="16"/>
        </w:rPr>
        <w:t xml:space="preserve"> </w:t>
      </w:r>
      <w:r>
        <w:rPr>
          <w:color w:val="231F20"/>
        </w:rPr>
        <w:t>measures</w:t>
      </w:r>
      <w:r>
        <w:rPr>
          <w:color w:val="231F20"/>
          <w:spacing w:val="17"/>
        </w:rPr>
        <w:t xml:space="preserve"> </w:t>
      </w:r>
      <w:r>
        <w:rPr>
          <w:color w:val="231F20"/>
          <w:spacing w:val="-2"/>
        </w:rPr>
        <w:t>apply)</w:t>
      </w:r>
    </w:p>
    <w:p w:rsidR="00B722CB" w:rsidRDefault="00000000">
      <w:pPr>
        <w:pStyle w:val="BodyText"/>
        <w:spacing w:before="12" w:line="249" w:lineRule="auto"/>
        <w:ind w:right="498"/>
      </w:pPr>
      <w:r>
        <w:rPr>
          <w:color w:val="231F20"/>
        </w:rPr>
        <w:t>It is the responsibility of the licensing/ordaining/accrediting denomination to oversee the disciplinary process relating to ordained ministers. Risk assessments should therefore be undertaken by their own denomination, which retains the ability to suspend and/or instigate disciplinary proceedings.</w:t>
      </w:r>
    </w:p>
    <w:p w:rsidR="00B722CB" w:rsidRDefault="00B722CB">
      <w:pPr>
        <w:pStyle w:val="BodyText"/>
        <w:spacing w:before="16"/>
        <w:ind w:left="0"/>
      </w:pPr>
    </w:p>
    <w:p w:rsidR="00B722CB" w:rsidRDefault="00000000">
      <w:pPr>
        <w:pStyle w:val="BodyText"/>
        <w:spacing w:line="249" w:lineRule="auto"/>
        <w:ind w:right="817"/>
      </w:pPr>
      <w:r>
        <w:rPr>
          <w:color w:val="231F20"/>
        </w:rPr>
        <w:t>Safeguarding officers must take early action to ensure that any safeguarding process</w:t>
      </w:r>
      <w:r>
        <w:rPr>
          <w:color w:val="231F20"/>
          <w:spacing w:val="80"/>
        </w:rPr>
        <w:t xml:space="preserve"> </w:t>
      </w:r>
      <w:r>
        <w:rPr>
          <w:color w:val="231F20"/>
        </w:rPr>
        <w:t>involving allegations against an ordained minister from another denomination includes clear communication of the minister’s details, the nature of the allegation, and any investigative</w:t>
      </w:r>
      <w:r>
        <w:rPr>
          <w:color w:val="231F20"/>
          <w:spacing w:val="80"/>
        </w:rPr>
        <w:t xml:space="preserve"> </w:t>
      </w:r>
      <w:r>
        <w:rPr>
          <w:color w:val="231F20"/>
        </w:rPr>
        <w:t>work undertaken, including the involvement of any statutory authorities. Close communication</w:t>
      </w:r>
    </w:p>
    <w:p w:rsidR="00B722CB" w:rsidRDefault="00000000">
      <w:pPr>
        <w:pStyle w:val="BodyText"/>
        <w:spacing w:before="4" w:line="249" w:lineRule="auto"/>
        <w:ind w:right="498"/>
      </w:pPr>
      <w:r>
        <w:rPr>
          <w:color w:val="231F20"/>
        </w:rPr>
        <w:t>should be maintained between denominations. Subject to legal requirements, it is generally not appropriate to withhold information from a safeguarding colleague in another denominational team that might impact or impede their own disciplinary processes, or which might mean that</w:t>
      </w:r>
    </w:p>
    <w:p w:rsidR="00B722CB" w:rsidRDefault="00B722CB">
      <w:pPr>
        <w:spacing w:line="249" w:lineRule="auto"/>
        <w:sectPr w:rsidR="00B722CB">
          <w:pgSz w:w="11910" w:h="16840"/>
          <w:pgMar w:top="580" w:right="420" w:bottom="680" w:left="260" w:header="0" w:footer="495" w:gutter="0"/>
          <w:cols w:space="720"/>
        </w:sectPr>
      </w:pPr>
    </w:p>
    <w:p w:rsidR="00B722CB" w:rsidRDefault="00000000">
      <w:pPr>
        <w:pStyle w:val="BodyText"/>
        <w:spacing w:before="72" w:line="249" w:lineRule="auto"/>
        <w:ind w:right="498"/>
      </w:pPr>
      <w:r>
        <w:rPr>
          <w:color w:val="231F20"/>
        </w:rPr>
        <w:lastRenderedPageBreak/>
        <w:t>they are unable to take the necessary steps to act in relation to a minister they accredit, or have ordained or licensed. If there is any doubt as to whether data can be shared, advice must be sought from the relevant data protection professional.</w:t>
      </w:r>
    </w:p>
    <w:p w:rsidR="00B722CB" w:rsidRDefault="00B722CB">
      <w:pPr>
        <w:pStyle w:val="BodyText"/>
        <w:spacing w:before="14"/>
        <w:ind w:left="0"/>
      </w:pPr>
    </w:p>
    <w:p w:rsidR="00B722CB" w:rsidRDefault="00000000">
      <w:pPr>
        <w:pStyle w:val="BodyText"/>
        <w:spacing w:line="249" w:lineRule="auto"/>
        <w:ind w:right="350"/>
      </w:pPr>
      <w:r>
        <w:rPr>
          <w:color w:val="231F20"/>
        </w:rPr>
        <w:t xml:space="preserve">Collaborative working between denominational safeguarding teams is critical where safeguarding allegations relate to the </w:t>
      </w:r>
      <w:proofErr w:type="spellStart"/>
      <w:r>
        <w:rPr>
          <w:color w:val="231F20"/>
        </w:rPr>
        <w:t>behaviour</w:t>
      </w:r>
      <w:proofErr w:type="spellEnd"/>
      <w:r>
        <w:rPr>
          <w:color w:val="231F20"/>
        </w:rPr>
        <w:t xml:space="preserve"> or conduct of an ordained minister of the LEP. Each denomination</w:t>
      </w:r>
      <w:r>
        <w:rPr>
          <w:color w:val="231F20"/>
          <w:spacing w:val="20"/>
        </w:rPr>
        <w:t xml:space="preserve"> </w:t>
      </w:r>
      <w:r>
        <w:rPr>
          <w:color w:val="231F20"/>
        </w:rPr>
        <w:t>has</w:t>
      </w:r>
      <w:r>
        <w:rPr>
          <w:color w:val="231F20"/>
          <w:spacing w:val="20"/>
        </w:rPr>
        <w:t xml:space="preserve"> </w:t>
      </w:r>
      <w:r>
        <w:rPr>
          <w:color w:val="231F20"/>
        </w:rPr>
        <w:t>its</w:t>
      </w:r>
      <w:r>
        <w:rPr>
          <w:color w:val="231F20"/>
          <w:spacing w:val="20"/>
        </w:rPr>
        <w:t xml:space="preserve"> </w:t>
      </w:r>
      <w:r>
        <w:rPr>
          <w:color w:val="231F20"/>
        </w:rPr>
        <w:t>own</w:t>
      </w:r>
      <w:r>
        <w:rPr>
          <w:color w:val="231F20"/>
          <w:spacing w:val="20"/>
        </w:rPr>
        <w:t xml:space="preserve"> </w:t>
      </w:r>
      <w:r>
        <w:rPr>
          <w:color w:val="231F20"/>
        </w:rPr>
        <w:t>clearly</w:t>
      </w:r>
      <w:r>
        <w:rPr>
          <w:color w:val="231F20"/>
          <w:spacing w:val="20"/>
        </w:rPr>
        <w:t xml:space="preserve"> </w:t>
      </w:r>
      <w:r>
        <w:rPr>
          <w:color w:val="231F20"/>
        </w:rPr>
        <w:t>defined</w:t>
      </w:r>
      <w:r>
        <w:rPr>
          <w:color w:val="231F20"/>
          <w:spacing w:val="20"/>
        </w:rPr>
        <w:t xml:space="preserve"> </w:t>
      </w:r>
      <w:r>
        <w:rPr>
          <w:color w:val="231F20"/>
        </w:rPr>
        <w:t>procedures</w:t>
      </w:r>
      <w:r>
        <w:rPr>
          <w:color w:val="231F20"/>
          <w:spacing w:val="20"/>
        </w:rPr>
        <w:t xml:space="preserve"> </w:t>
      </w:r>
      <w:r>
        <w:rPr>
          <w:color w:val="231F20"/>
        </w:rPr>
        <w:t>for</w:t>
      </w:r>
      <w:r>
        <w:rPr>
          <w:color w:val="231F20"/>
          <w:spacing w:val="20"/>
        </w:rPr>
        <w:t xml:space="preserve"> </w:t>
      </w:r>
      <w:r>
        <w:rPr>
          <w:color w:val="231F20"/>
        </w:rPr>
        <w:t>dealing</w:t>
      </w:r>
      <w:r>
        <w:rPr>
          <w:color w:val="231F20"/>
          <w:spacing w:val="20"/>
        </w:rPr>
        <w:t xml:space="preserve"> </w:t>
      </w:r>
      <w:r>
        <w:rPr>
          <w:color w:val="231F20"/>
        </w:rPr>
        <w:t>with</w:t>
      </w:r>
      <w:r>
        <w:rPr>
          <w:color w:val="231F20"/>
          <w:spacing w:val="20"/>
        </w:rPr>
        <w:t xml:space="preserve"> </w:t>
      </w:r>
      <w:r>
        <w:rPr>
          <w:color w:val="231F20"/>
        </w:rPr>
        <w:t>the</w:t>
      </w:r>
      <w:r>
        <w:rPr>
          <w:color w:val="231F20"/>
          <w:spacing w:val="20"/>
        </w:rPr>
        <w:t xml:space="preserve"> </w:t>
      </w:r>
      <w:r>
        <w:rPr>
          <w:color w:val="231F20"/>
        </w:rPr>
        <w:t>investigation</w:t>
      </w:r>
      <w:r>
        <w:rPr>
          <w:color w:val="231F20"/>
          <w:spacing w:val="20"/>
        </w:rPr>
        <w:t xml:space="preserve"> </w:t>
      </w:r>
      <w:r>
        <w:rPr>
          <w:color w:val="231F20"/>
        </w:rPr>
        <w:t>of concerns raised about ordained or accredited ministers, which may vary between denominations. Therefore, those investigating or supporting an LEP to investigate a safeguarding concern will need to work within the LEP’s own safeguarding policy and also adhere to the relevant ministerial disciplinary rules, which may comprise legal processes established by a different denomination.</w:t>
      </w:r>
    </w:p>
    <w:p w:rsidR="00B722CB" w:rsidRDefault="00B722CB">
      <w:pPr>
        <w:pStyle w:val="BodyText"/>
        <w:spacing w:before="19"/>
        <w:ind w:left="0"/>
      </w:pPr>
    </w:p>
    <w:p w:rsidR="00B722CB" w:rsidRDefault="00000000">
      <w:pPr>
        <w:pStyle w:val="BodyText"/>
        <w:spacing w:line="249" w:lineRule="auto"/>
        <w:ind w:right="350"/>
      </w:pPr>
      <w:r>
        <w:rPr>
          <w:color w:val="231F20"/>
        </w:rPr>
        <w:t>In practice, this means that in any case where there is an allegation or complaint in relation to an ordained minister working in an LEP who is accredited and/or ordained by another denomination, that denomination’s safeguarding officer must be informed and communication must continue through the investigation and risk assessment process. The requirements of the policies and procedures (including disciplinary procedures) of the denomination of which the minister is a member must be followed. Likewise, regular contact between the participating denominations should be maintained until the conclusion of any proceedings.</w:t>
      </w:r>
    </w:p>
    <w:p w:rsidR="00B722CB" w:rsidRDefault="00B722CB">
      <w:pPr>
        <w:pStyle w:val="BodyText"/>
        <w:spacing w:before="19"/>
        <w:ind w:left="0"/>
      </w:pPr>
    </w:p>
    <w:p w:rsidR="00B722CB" w:rsidRDefault="00000000">
      <w:pPr>
        <w:pStyle w:val="BodyText"/>
        <w:spacing w:line="249" w:lineRule="auto"/>
        <w:ind w:right="498"/>
      </w:pPr>
      <w:r>
        <w:rPr>
          <w:color w:val="231F20"/>
        </w:rPr>
        <w:t>Data protection and information-sharing agreements need to make clear reference to the necessity and lawful basis on which to share information between denominations in such situations (see point 8 below). If there is any doubt as to whether data can be shared, advice must be sought from the relevant data protection professional.</w:t>
      </w:r>
    </w:p>
    <w:p w:rsidR="00B722CB" w:rsidRDefault="00B722CB">
      <w:pPr>
        <w:pStyle w:val="BodyText"/>
        <w:spacing w:before="16"/>
        <w:ind w:left="0"/>
      </w:pPr>
    </w:p>
    <w:p w:rsidR="00B722CB" w:rsidRDefault="00000000">
      <w:pPr>
        <w:pStyle w:val="Heading2"/>
        <w:numPr>
          <w:ilvl w:val="1"/>
          <w:numId w:val="2"/>
        </w:numPr>
        <w:tabs>
          <w:tab w:val="left" w:pos="1318"/>
        </w:tabs>
        <w:ind w:left="1318" w:hanging="858"/>
      </w:pPr>
      <w:r>
        <w:rPr>
          <w:color w:val="231F20"/>
        </w:rPr>
        <w:t>Church</w:t>
      </w:r>
      <w:r>
        <w:rPr>
          <w:color w:val="231F20"/>
          <w:spacing w:val="8"/>
        </w:rPr>
        <w:t xml:space="preserve"> </w:t>
      </w:r>
      <w:r>
        <w:rPr>
          <w:color w:val="231F20"/>
          <w:spacing w:val="-2"/>
        </w:rPr>
        <w:t>Officers</w:t>
      </w:r>
    </w:p>
    <w:p w:rsidR="00B722CB" w:rsidRDefault="00000000">
      <w:pPr>
        <w:pStyle w:val="BodyText"/>
        <w:spacing w:before="12" w:line="249" w:lineRule="auto"/>
        <w:ind w:right="350"/>
      </w:pPr>
      <w:r>
        <w:rPr>
          <w:color w:val="231F20"/>
        </w:rPr>
        <w:t xml:space="preserve">Safeguarding concerns and allegations that relate to role holders who are non-ordained ministers should be dealt with using the processes set out in the LEP’s adopted safeguarding policy and procedures. HR disciplinary processes should be consulted where an employment contract is in place and employment law applies. The same communication principles listed above should be </w:t>
      </w:r>
      <w:r>
        <w:rPr>
          <w:color w:val="231F20"/>
          <w:spacing w:val="-2"/>
        </w:rPr>
        <w:t>applied.</w:t>
      </w:r>
    </w:p>
    <w:p w:rsidR="00B722CB" w:rsidRDefault="00B722CB">
      <w:pPr>
        <w:pStyle w:val="BodyText"/>
        <w:spacing w:before="28"/>
        <w:ind w:left="0"/>
      </w:pPr>
    </w:p>
    <w:p w:rsidR="00B722CB" w:rsidRDefault="00000000">
      <w:pPr>
        <w:pStyle w:val="Heading1"/>
        <w:numPr>
          <w:ilvl w:val="0"/>
          <w:numId w:val="2"/>
        </w:numPr>
        <w:tabs>
          <w:tab w:val="left" w:pos="1179"/>
        </w:tabs>
        <w:ind w:hanging="719"/>
      </w:pPr>
      <w:r>
        <w:rPr>
          <w:color w:val="231F20"/>
        </w:rPr>
        <w:t>Data</w:t>
      </w:r>
      <w:r>
        <w:rPr>
          <w:color w:val="231F20"/>
          <w:spacing w:val="16"/>
        </w:rPr>
        <w:t xml:space="preserve"> </w:t>
      </w:r>
      <w:r>
        <w:rPr>
          <w:color w:val="231F20"/>
        </w:rPr>
        <w:t>Protection</w:t>
      </w:r>
      <w:r>
        <w:rPr>
          <w:color w:val="231F20"/>
          <w:spacing w:val="19"/>
        </w:rPr>
        <w:t xml:space="preserve"> </w:t>
      </w:r>
      <w:r>
        <w:rPr>
          <w:color w:val="231F20"/>
        </w:rPr>
        <w:t>and</w:t>
      </w:r>
      <w:r>
        <w:rPr>
          <w:color w:val="231F20"/>
          <w:spacing w:val="19"/>
        </w:rPr>
        <w:t xml:space="preserve"> </w:t>
      </w:r>
      <w:r>
        <w:rPr>
          <w:color w:val="231F20"/>
        </w:rPr>
        <w:t>information</w:t>
      </w:r>
      <w:r>
        <w:rPr>
          <w:color w:val="231F20"/>
          <w:spacing w:val="19"/>
        </w:rPr>
        <w:t xml:space="preserve"> </w:t>
      </w:r>
      <w:r>
        <w:rPr>
          <w:color w:val="231F20"/>
          <w:spacing w:val="-2"/>
        </w:rPr>
        <w:t>sharing</w:t>
      </w:r>
    </w:p>
    <w:p w:rsidR="00B722CB" w:rsidRDefault="00000000">
      <w:pPr>
        <w:pStyle w:val="BodyText"/>
        <w:spacing w:before="3" w:line="249" w:lineRule="auto"/>
        <w:ind w:right="350"/>
      </w:pPr>
      <w:r>
        <w:rPr>
          <w:color w:val="231F20"/>
        </w:rPr>
        <w:t>Information sharing is crucial in managing risk. Each denomination’s Safeguarding Privacy Notice must include specific reference to the legal basis and requirement to share information in relation to</w:t>
      </w:r>
      <w:r>
        <w:rPr>
          <w:color w:val="231F20"/>
          <w:spacing w:val="20"/>
        </w:rPr>
        <w:t xml:space="preserve"> </w:t>
      </w:r>
      <w:r>
        <w:rPr>
          <w:color w:val="231F20"/>
        </w:rPr>
        <w:t>safeguarding</w:t>
      </w:r>
      <w:r>
        <w:rPr>
          <w:color w:val="231F20"/>
          <w:spacing w:val="20"/>
        </w:rPr>
        <w:t xml:space="preserve"> </w:t>
      </w:r>
      <w:r>
        <w:rPr>
          <w:color w:val="231F20"/>
        </w:rPr>
        <w:t>allegations,</w:t>
      </w:r>
      <w:r>
        <w:rPr>
          <w:color w:val="231F20"/>
          <w:spacing w:val="20"/>
        </w:rPr>
        <w:t xml:space="preserve"> </w:t>
      </w:r>
      <w:r>
        <w:rPr>
          <w:color w:val="231F20"/>
        </w:rPr>
        <w:t>investigations</w:t>
      </w:r>
      <w:r>
        <w:rPr>
          <w:color w:val="231F20"/>
          <w:spacing w:val="20"/>
        </w:rPr>
        <w:t xml:space="preserve"> </w:t>
      </w:r>
      <w:r>
        <w:rPr>
          <w:color w:val="231F20"/>
        </w:rPr>
        <w:t>and</w:t>
      </w:r>
      <w:r>
        <w:rPr>
          <w:color w:val="231F20"/>
          <w:spacing w:val="20"/>
        </w:rPr>
        <w:t xml:space="preserve"> </w:t>
      </w:r>
      <w:r>
        <w:rPr>
          <w:color w:val="231F20"/>
        </w:rPr>
        <w:t>outcomes.</w:t>
      </w:r>
      <w:r>
        <w:rPr>
          <w:color w:val="231F20"/>
          <w:spacing w:val="20"/>
        </w:rPr>
        <w:t xml:space="preserve"> </w:t>
      </w:r>
      <w:r>
        <w:rPr>
          <w:color w:val="231F20"/>
        </w:rPr>
        <w:t>The</w:t>
      </w:r>
      <w:r>
        <w:rPr>
          <w:color w:val="231F20"/>
          <w:spacing w:val="20"/>
        </w:rPr>
        <w:t xml:space="preserve"> </w:t>
      </w:r>
      <w:r>
        <w:rPr>
          <w:color w:val="231F20"/>
        </w:rPr>
        <w:t>Privacy</w:t>
      </w:r>
      <w:r>
        <w:rPr>
          <w:color w:val="231F20"/>
          <w:spacing w:val="20"/>
        </w:rPr>
        <w:t xml:space="preserve"> </w:t>
      </w:r>
      <w:r>
        <w:rPr>
          <w:color w:val="231F20"/>
        </w:rPr>
        <w:t>Notice</w:t>
      </w:r>
      <w:r>
        <w:rPr>
          <w:color w:val="231F20"/>
          <w:spacing w:val="20"/>
        </w:rPr>
        <w:t xml:space="preserve"> </w:t>
      </w:r>
      <w:r>
        <w:rPr>
          <w:color w:val="231F20"/>
        </w:rPr>
        <w:t>must</w:t>
      </w:r>
      <w:r>
        <w:rPr>
          <w:color w:val="231F20"/>
          <w:spacing w:val="20"/>
        </w:rPr>
        <w:t xml:space="preserve"> </w:t>
      </w:r>
      <w:r>
        <w:rPr>
          <w:color w:val="231F20"/>
        </w:rPr>
        <w:t>be</w:t>
      </w:r>
      <w:r>
        <w:rPr>
          <w:color w:val="231F20"/>
          <w:spacing w:val="20"/>
        </w:rPr>
        <w:t xml:space="preserve"> </w:t>
      </w:r>
      <w:r>
        <w:rPr>
          <w:color w:val="231F20"/>
        </w:rPr>
        <w:t>shared and understood with and by LEP colleagues.</w:t>
      </w:r>
    </w:p>
    <w:p w:rsidR="00B722CB" w:rsidRDefault="00B722CB">
      <w:pPr>
        <w:pStyle w:val="BodyText"/>
        <w:spacing w:before="27"/>
        <w:ind w:left="0"/>
      </w:pPr>
    </w:p>
    <w:p w:rsidR="00B722CB" w:rsidRDefault="00000000">
      <w:pPr>
        <w:pStyle w:val="Heading1"/>
        <w:numPr>
          <w:ilvl w:val="0"/>
          <w:numId w:val="2"/>
        </w:numPr>
        <w:tabs>
          <w:tab w:val="left" w:pos="1179"/>
        </w:tabs>
        <w:ind w:hanging="719"/>
      </w:pPr>
      <w:r>
        <w:rPr>
          <w:color w:val="231F20"/>
        </w:rPr>
        <w:t>Inter-denominational</w:t>
      </w:r>
      <w:r>
        <w:rPr>
          <w:color w:val="231F20"/>
          <w:spacing w:val="44"/>
          <w:w w:val="150"/>
        </w:rPr>
        <w:t xml:space="preserve"> </w:t>
      </w:r>
      <w:r>
        <w:rPr>
          <w:color w:val="231F20"/>
        </w:rPr>
        <w:t>co-</w:t>
      </w:r>
      <w:r>
        <w:rPr>
          <w:color w:val="231F20"/>
          <w:spacing w:val="-2"/>
        </w:rPr>
        <w:t>operation</w:t>
      </w:r>
    </w:p>
    <w:p w:rsidR="00B722CB" w:rsidRDefault="00000000">
      <w:pPr>
        <w:pStyle w:val="BodyText"/>
        <w:spacing w:before="3" w:line="249" w:lineRule="auto"/>
      </w:pPr>
      <w:r>
        <w:rPr>
          <w:color w:val="231F20"/>
        </w:rPr>
        <w:t xml:space="preserve">The major Christian denominations employ professionally qualified and experienced safeguarding staff in their synod, district, diocesan, regional, national and </w:t>
      </w:r>
      <w:proofErr w:type="spellStart"/>
      <w:r>
        <w:rPr>
          <w:color w:val="231F20"/>
        </w:rPr>
        <w:t>connexional</w:t>
      </w:r>
      <w:proofErr w:type="spellEnd"/>
      <w:r>
        <w:rPr>
          <w:color w:val="231F20"/>
        </w:rPr>
        <w:t xml:space="preserve"> safeguarding teams.</w:t>
      </w:r>
    </w:p>
    <w:p w:rsidR="00B722CB" w:rsidRDefault="00000000">
      <w:pPr>
        <w:pStyle w:val="BodyText"/>
        <w:spacing w:before="2" w:line="249" w:lineRule="auto"/>
      </w:pPr>
      <w:r>
        <w:rPr>
          <w:color w:val="231F20"/>
        </w:rPr>
        <w:t xml:space="preserve">Safeguarding officers will </w:t>
      </w:r>
      <w:proofErr w:type="spellStart"/>
      <w:r>
        <w:rPr>
          <w:color w:val="231F20"/>
        </w:rPr>
        <w:t>recognise</w:t>
      </w:r>
      <w:proofErr w:type="spellEnd"/>
      <w:r>
        <w:rPr>
          <w:color w:val="231F20"/>
        </w:rPr>
        <w:t xml:space="preserve"> their peers and adopt an approach that reflects professional courtesy and respect for joint working in order to achieve the best outcomes for LEPs.</w:t>
      </w:r>
    </w:p>
    <w:p w:rsidR="00B722CB" w:rsidRDefault="00000000">
      <w:pPr>
        <w:pStyle w:val="BodyText"/>
        <w:spacing w:before="2" w:line="249" w:lineRule="auto"/>
        <w:ind w:right="498"/>
      </w:pPr>
      <w:r>
        <w:rPr>
          <w:color w:val="231F20"/>
        </w:rPr>
        <w:t>To that end, each denomination will provide an outline of its core safeguarding policies and procedures, its data protection policies and procedures and the structure of its safeguarding teams, alongside current contact details for relevant safeguarding staff. This contact list will be updated on an annual basis.</w:t>
      </w:r>
    </w:p>
    <w:p w:rsidR="00B722CB" w:rsidRDefault="00B722CB">
      <w:pPr>
        <w:pStyle w:val="BodyText"/>
        <w:spacing w:before="16"/>
        <w:ind w:left="0"/>
      </w:pPr>
    </w:p>
    <w:p w:rsidR="00B722CB" w:rsidRDefault="00000000">
      <w:pPr>
        <w:pStyle w:val="BodyText"/>
        <w:spacing w:line="249" w:lineRule="auto"/>
        <w:ind w:right="498"/>
      </w:pPr>
      <w:r>
        <w:rPr>
          <w:color w:val="231F20"/>
        </w:rPr>
        <w:t>Each synod, regional, district, diocesan or national safeguarding officer must make contact with their peers and look for opportunities to meet and, at a minimum, make initial contact so that future contact and collaborative working is made easier.</w:t>
      </w:r>
    </w:p>
    <w:p w:rsidR="00B722CB" w:rsidRDefault="00B722CB">
      <w:pPr>
        <w:spacing w:line="249" w:lineRule="auto"/>
        <w:sectPr w:rsidR="00B722CB">
          <w:pgSz w:w="11910" w:h="16840"/>
          <w:pgMar w:top="580" w:right="420" w:bottom="680" w:left="260" w:header="0" w:footer="495" w:gutter="0"/>
          <w:cols w:space="720"/>
        </w:sectPr>
      </w:pPr>
    </w:p>
    <w:p w:rsidR="00B722CB" w:rsidRDefault="00000000">
      <w:pPr>
        <w:pStyle w:val="Heading1"/>
        <w:numPr>
          <w:ilvl w:val="0"/>
          <w:numId w:val="2"/>
        </w:numPr>
        <w:tabs>
          <w:tab w:val="left" w:pos="1179"/>
        </w:tabs>
        <w:spacing w:before="63"/>
        <w:ind w:hanging="719"/>
      </w:pPr>
      <w:r>
        <w:rPr>
          <w:color w:val="231F20"/>
        </w:rPr>
        <w:lastRenderedPageBreak/>
        <w:t>Media</w:t>
      </w:r>
      <w:r>
        <w:rPr>
          <w:color w:val="231F20"/>
          <w:spacing w:val="16"/>
        </w:rPr>
        <w:t xml:space="preserve"> </w:t>
      </w:r>
      <w:r>
        <w:rPr>
          <w:color w:val="231F20"/>
          <w:spacing w:val="-2"/>
        </w:rPr>
        <w:t>response</w:t>
      </w:r>
    </w:p>
    <w:p w:rsidR="00B722CB" w:rsidRDefault="00000000">
      <w:pPr>
        <w:pStyle w:val="BodyText"/>
        <w:spacing w:before="4"/>
      </w:pPr>
      <w:r>
        <w:rPr>
          <w:color w:val="231F20"/>
        </w:rPr>
        <w:t>In</w:t>
      </w:r>
      <w:r>
        <w:rPr>
          <w:color w:val="231F20"/>
          <w:spacing w:val="4"/>
        </w:rPr>
        <w:t xml:space="preserve"> </w:t>
      </w:r>
      <w:r>
        <w:rPr>
          <w:color w:val="231F20"/>
        </w:rPr>
        <w:t>cases</w:t>
      </w:r>
      <w:r>
        <w:rPr>
          <w:color w:val="231F20"/>
          <w:spacing w:val="7"/>
        </w:rPr>
        <w:t xml:space="preserve"> </w:t>
      </w:r>
      <w:r>
        <w:rPr>
          <w:color w:val="231F20"/>
        </w:rPr>
        <w:t>that</w:t>
      </w:r>
      <w:r>
        <w:rPr>
          <w:color w:val="231F20"/>
          <w:spacing w:val="6"/>
        </w:rPr>
        <w:t xml:space="preserve"> </w:t>
      </w:r>
      <w:r>
        <w:rPr>
          <w:color w:val="231F20"/>
        </w:rPr>
        <w:t>might</w:t>
      </w:r>
      <w:r>
        <w:rPr>
          <w:color w:val="231F20"/>
          <w:spacing w:val="7"/>
        </w:rPr>
        <w:t xml:space="preserve"> </w:t>
      </w:r>
      <w:r>
        <w:rPr>
          <w:color w:val="231F20"/>
        </w:rPr>
        <w:t>attract</w:t>
      </w:r>
      <w:r>
        <w:rPr>
          <w:color w:val="231F20"/>
          <w:spacing w:val="6"/>
        </w:rPr>
        <w:t xml:space="preserve"> </w:t>
      </w:r>
      <w:r>
        <w:rPr>
          <w:color w:val="231F20"/>
        </w:rPr>
        <w:t>media</w:t>
      </w:r>
      <w:r>
        <w:rPr>
          <w:color w:val="231F20"/>
          <w:spacing w:val="7"/>
        </w:rPr>
        <w:t xml:space="preserve"> </w:t>
      </w:r>
      <w:r>
        <w:rPr>
          <w:color w:val="231F20"/>
        </w:rPr>
        <w:t>attention,</w:t>
      </w:r>
      <w:r>
        <w:rPr>
          <w:color w:val="231F20"/>
          <w:spacing w:val="6"/>
        </w:rPr>
        <w:t xml:space="preserve"> </w:t>
      </w:r>
      <w:r>
        <w:rPr>
          <w:color w:val="231F20"/>
        </w:rPr>
        <w:t>all</w:t>
      </w:r>
      <w:r>
        <w:rPr>
          <w:color w:val="231F20"/>
          <w:spacing w:val="7"/>
        </w:rPr>
        <w:t xml:space="preserve"> </w:t>
      </w:r>
      <w:r>
        <w:rPr>
          <w:color w:val="231F20"/>
        </w:rPr>
        <w:t>communications</w:t>
      </w:r>
      <w:r>
        <w:rPr>
          <w:color w:val="231F20"/>
          <w:spacing w:val="6"/>
        </w:rPr>
        <w:t xml:space="preserve"> </w:t>
      </w:r>
      <w:r>
        <w:rPr>
          <w:color w:val="231F20"/>
        </w:rPr>
        <w:t>teams</w:t>
      </w:r>
      <w:r>
        <w:rPr>
          <w:color w:val="231F20"/>
          <w:spacing w:val="7"/>
        </w:rPr>
        <w:t xml:space="preserve"> </w:t>
      </w:r>
      <w:r>
        <w:rPr>
          <w:color w:val="231F20"/>
        </w:rPr>
        <w:t>of</w:t>
      </w:r>
      <w:r>
        <w:rPr>
          <w:color w:val="231F20"/>
          <w:spacing w:val="6"/>
        </w:rPr>
        <w:t xml:space="preserve"> </w:t>
      </w:r>
      <w:r>
        <w:rPr>
          <w:color w:val="231F20"/>
        </w:rPr>
        <w:t>relevant</w:t>
      </w:r>
      <w:r>
        <w:rPr>
          <w:color w:val="231F20"/>
          <w:spacing w:val="7"/>
        </w:rPr>
        <w:t xml:space="preserve"> </w:t>
      </w:r>
      <w:r>
        <w:rPr>
          <w:color w:val="231F20"/>
          <w:spacing w:val="-2"/>
        </w:rPr>
        <w:t>denominations</w:t>
      </w:r>
    </w:p>
    <w:p w:rsidR="00B722CB" w:rsidRDefault="00000000">
      <w:pPr>
        <w:pStyle w:val="BodyText"/>
        <w:spacing w:before="12"/>
      </w:pPr>
      <w:r>
        <w:rPr>
          <w:color w:val="231F20"/>
        </w:rPr>
        <w:t>involved</w:t>
      </w:r>
      <w:r>
        <w:rPr>
          <w:color w:val="231F20"/>
          <w:spacing w:val="2"/>
        </w:rPr>
        <w:t xml:space="preserve"> </w:t>
      </w:r>
      <w:r>
        <w:rPr>
          <w:color w:val="231F20"/>
        </w:rPr>
        <w:t>in</w:t>
      </w:r>
      <w:r>
        <w:rPr>
          <w:color w:val="231F20"/>
          <w:spacing w:val="5"/>
        </w:rPr>
        <w:t xml:space="preserve"> </w:t>
      </w:r>
      <w:r>
        <w:rPr>
          <w:color w:val="231F20"/>
        </w:rPr>
        <w:t>the</w:t>
      </w:r>
      <w:r>
        <w:rPr>
          <w:color w:val="231F20"/>
          <w:spacing w:val="5"/>
        </w:rPr>
        <w:t xml:space="preserve"> </w:t>
      </w:r>
      <w:r>
        <w:rPr>
          <w:color w:val="231F20"/>
        </w:rPr>
        <w:t>LEP</w:t>
      </w:r>
      <w:r>
        <w:rPr>
          <w:color w:val="231F20"/>
          <w:spacing w:val="5"/>
        </w:rPr>
        <w:t xml:space="preserve"> </w:t>
      </w:r>
      <w:r>
        <w:rPr>
          <w:color w:val="231F20"/>
        </w:rPr>
        <w:t>will</w:t>
      </w:r>
      <w:r>
        <w:rPr>
          <w:color w:val="231F20"/>
          <w:spacing w:val="5"/>
        </w:rPr>
        <w:t xml:space="preserve"> </w:t>
      </w:r>
      <w:r>
        <w:rPr>
          <w:color w:val="231F20"/>
        </w:rPr>
        <w:t>be</w:t>
      </w:r>
      <w:r>
        <w:rPr>
          <w:color w:val="231F20"/>
          <w:spacing w:val="5"/>
        </w:rPr>
        <w:t xml:space="preserve"> </w:t>
      </w:r>
      <w:r>
        <w:rPr>
          <w:color w:val="231F20"/>
        </w:rPr>
        <w:t>informed</w:t>
      </w:r>
      <w:r>
        <w:rPr>
          <w:color w:val="231F20"/>
          <w:spacing w:val="5"/>
        </w:rPr>
        <w:t xml:space="preserve"> </w:t>
      </w:r>
      <w:r>
        <w:rPr>
          <w:color w:val="231F20"/>
        </w:rPr>
        <w:t>and</w:t>
      </w:r>
      <w:r>
        <w:rPr>
          <w:color w:val="231F20"/>
          <w:spacing w:val="5"/>
        </w:rPr>
        <w:t xml:space="preserve"> </w:t>
      </w:r>
      <w:r>
        <w:rPr>
          <w:color w:val="231F20"/>
        </w:rPr>
        <w:t>work</w:t>
      </w:r>
      <w:r>
        <w:rPr>
          <w:color w:val="231F20"/>
          <w:spacing w:val="5"/>
        </w:rPr>
        <w:t xml:space="preserve"> </w:t>
      </w:r>
      <w:r>
        <w:rPr>
          <w:color w:val="231F20"/>
        </w:rPr>
        <w:t>together</w:t>
      </w:r>
      <w:r>
        <w:rPr>
          <w:color w:val="231F20"/>
          <w:spacing w:val="5"/>
        </w:rPr>
        <w:t xml:space="preserve"> </w:t>
      </w:r>
      <w:r>
        <w:rPr>
          <w:color w:val="231F20"/>
        </w:rPr>
        <w:t>to</w:t>
      </w:r>
      <w:r>
        <w:rPr>
          <w:color w:val="231F20"/>
          <w:spacing w:val="5"/>
        </w:rPr>
        <w:t xml:space="preserve"> </w:t>
      </w:r>
      <w:r>
        <w:rPr>
          <w:color w:val="231F20"/>
        </w:rPr>
        <w:t>agree</w:t>
      </w:r>
      <w:r>
        <w:rPr>
          <w:color w:val="231F20"/>
          <w:spacing w:val="5"/>
        </w:rPr>
        <w:t xml:space="preserve"> </w:t>
      </w:r>
      <w:r>
        <w:rPr>
          <w:color w:val="231F20"/>
        </w:rPr>
        <w:t>a</w:t>
      </w:r>
      <w:r>
        <w:rPr>
          <w:color w:val="231F20"/>
          <w:spacing w:val="5"/>
        </w:rPr>
        <w:t xml:space="preserve"> </w:t>
      </w:r>
      <w:r>
        <w:rPr>
          <w:color w:val="231F20"/>
        </w:rPr>
        <w:t>joint</w:t>
      </w:r>
      <w:r>
        <w:rPr>
          <w:color w:val="231F20"/>
          <w:spacing w:val="5"/>
        </w:rPr>
        <w:t xml:space="preserve"> </w:t>
      </w:r>
      <w:r>
        <w:rPr>
          <w:color w:val="231F20"/>
        </w:rPr>
        <w:t>press</w:t>
      </w:r>
      <w:r>
        <w:rPr>
          <w:color w:val="231F20"/>
          <w:spacing w:val="5"/>
        </w:rPr>
        <w:t xml:space="preserve"> </w:t>
      </w:r>
      <w:r>
        <w:rPr>
          <w:color w:val="231F20"/>
          <w:spacing w:val="-2"/>
        </w:rPr>
        <w:t>statement.</w:t>
      </w:r>
    </w:p>
    <w:p w:rsidR="00B722CB" w:rsidRDefault="00000000">
      <w:pPr>
        <w:pStyle w:val="BodyText"/>
        <w:spacing w:before="12" w:line="249" w:lineRule="auto"/>
        <w:ind w:right="603"/>
      </w:pPr>
      <w:r>
        <w:rPr>
          <w:color w:val="231F20"/>
        </w:rPr>
        <w:t>The lead role will be taken by the denomination whose policy has been adopted by the LEP.</w:t>
      </w:r>
      <w:r>
        <w:rPr>
          <w:color w:val="231F20"/>
          <w:spacing w:val="40"/>
        </w:rPr>
        <w:t xml:space="preserve"> </w:t>
      </w:r>
      <w:r>
        <w:rPr>
          <w:color w:val="231F20"/>
        </w:rPr>
        <w:t>The exception is where ministers are involved, in which case the licensing/ordaining/accrediting denomination’s communications team will take the lead and will keep partners informed.</w:t>
      </w:r>
    </w:p>
    <w:p w:rsidR="00B722CB" w:rsidRDefault="00B722CB">
      <w:pPr>
        <w:pStyle w:val="BodyText"/>
        <w:spacing w:before="25"/>
        <w:ind w:left="0"/>
      </w:pPr>
    </w:p>
    <w:p w:rsidR="00B722CB" w:rsidRDefault="00000000">
      <w:pPr>
        <w:pStyle w:val="Heading1"/>
        <w:numPr>
          <w:ilvl w:val="0"/>
          <w:numId w:val="2"/>
        </w:numPr>
        <w:tabs>
          <w:tab w:val="left" w:pos="1179"/>
        </w:tabs>
        <w:spacing w:line="249" w:lineRule="auto"/>
        <w:ind w:left="460" w:right="664" w:firstLine="0"/>
      </w:pPr>
      <w:r>
        <w:rPr>
          <w:color w:val="231F20"/>
        </w:rPr>
        <w:t xml:space="preserve">Employment and governance of employees and volunteers within the </w:t>
      </w:r>
      <w:r>
        <w:rPr>
          <w:color w:val="231F20"/>
          <w:spacing w:val="-4"/>
        </w:rPr>
        <w:t>LEP</w:t>
      </w:r>
    </w:p>
    <w:p w:rsidR="00B722CB" w:rsidRDefault="00000000">
      <w:pPr>
        <w:pStyle w:val="BodyText"/>
        <w:spacing w:line="249" w:lineRule="auto"/>
        <w:ind w:right="498"/>
      </w:pPr>
      <w:r>
        <w:rPr>
          <w:color w:val="231F20"/>
        </w:rPr>
        <w:t xml:space="preserve">The policy adopted by the LEP will be followed in these cases, including safer recruitment </w:t>
      </w:r>
      <w:r>
        <w:rPr>
          <w:color w:val="231F20"/>
          <w:spacing w:val="-2"/>
        </w:rPr>
        <w:t>practices.</w:t>
      </w:r>
    </w:p>
    <w:p w:rsidR="00B722CB" w:rsidRDefault="00B722CB">
      <w:pPr>
        <w:pStyle w:val="BodyText"/>
        <w:spacing w:before="6"/>
        <w:ind w:left="0"/>
      </w:pPr>
    </w:p>
    <w:p w:rsidR="00B722CB" w:rsidRDefault="00000000">
      <w:pPr>
        <w:pStyle w:val="BodyText"/>
        <w:spacing w:line="249" w:lineRule="auto"/>
        <w:ind w:right="684"/>
      </w:pPr>
      <w:r>
        <w:rPr>
          <w:color w:val="231F20"/>
        </w:rPr>
        <w:t>In all cases when LEPs are formed from previously single denomination congregations, consideration needs to be given to processes that need to be changed from one denomination to another. Legal and HR advice should be sought to support this, particularly in relation to employment terms and conditions.</w:t>
      </w:r>
    </w:p>
    <w:p w:rsidR="00B722CB" w:rsidRDefault="00B722CB">
      <w:pPr>
        <w:pStyle w:val="BodyText"/>
        <w:spacing w:before="16"/>
        <w:ind w:left="0"/>
      </w:pPr>
    </w:p>
    <w:p w:rsidR="00B722CB" w:rsidRDefault="00000000">
      <w:pPr>
        <w:pStyle w:val="Heading2"/>
        <w:ind w:left="460"/>
      </w:pPr>
      <w:r>
        <w:rPr>
          <w:color w:val="231F20"/>
        </w:rPr>
        <w:t>LEP</w:t>
      </w:r>
      <w:r>
        <w:rPr>
          <w:color w:val="231F20"/>
          <w:spacing w:val="14"/>
        </w:rPr>
        <w:t xml:space="preserve"> </w:t>
      </w:r>
      <w:r>
        <w:rPr>
          <w:color w:val="231F20"/>
        </w:rPr>
        <w:t>Safeguarding</w:t>
      </w:r>
      <w:r>
        <w:rPr>
          <w:color w:val="231F20"/>
          <w:spacing w:val="14"/>
        </w:rPr>
        <w:t xml:space="preserve"> </w:t>
      </w:r>
      <w:r>
        <w:rPr>
          <w:color w:val="231F20"/>
        </w:rPr>
        <w:t>Working</w:t>
      </w:r>
      <w:r>
        <w:rPr>
          <w:color w:val="231F20"/>
          <w:spacing w:val="15"/>
        </w:rPr>
        <w:t xml:space="preserve"> </w:t>
      </w:r>
      <w:r>
        <w:rPr>
          <w:color w:val="231F20"/>
          <w:spacing w:val="-2"/>
        </w:rPr>
        <w:t>Group/RS</w:t>
      </w:r>
    </w:p>
    <w:p w:rsidR="00B722CB" w:rsidRDefault="00000000">
      <w:pPr>
        <w:pStyle w:val="BodyText"/>
        <w:spacing w:before="12"/>
      </w:pPr>
      <w:r>
        <w:rPr>
          <w:color w:val="231F20"/>
        </w:rPr>
        <w:t>This</w:t>
      </w:r>
      <w:r>
        <w:rPr>
          <w:color w:val="231F20"/>
          <w:spacing w:val="4"/>
        </w:rPr>
        <w:t xml:space="preserve"> </w:t>
      </w:r>
      <w:r>
        <w:rPr>
          <w:color w:val="231F20"/>
        </w:rPr>
        <w:t>Appendix</w:t>
      </w:r>
      <w:r>
        <w:rPr>
          <w:color w:val="231F20"/>
          <w:spacing w:val="6"/>
        </w:rPr>
        <w:t xml:space="preserve"> </w:t>
      </w:r>
      <w:r>
        <w:rPr>
          <w:color w:val="231F20"/>
        </w:rPr>
        <w:t>provides</w:t>
      </w:r>
      <w:r>
        <w:rPr>
          <w:color w:val="231F20"/>
          <w:spacing w:val="6"/>
        </w:rPr>
        <w:t xml:space="preserve"> </w:t>
      </w:r>
      <w:r>
        <w:rPr>
          <w:color w:val="231F20"/>
        </w:rPr>
        <w:t>guidance</w:t>
      </w:r>
      <w:r>
        <w:rPr>
          <w:color w:val="231F20"/>
          <w:spacing w:val="6"/>
        </w:rPr>
        <w:t xml:space="preserve"> </w:t>
      </w:r>
      <w:r>
        <w:rPr>
          <w:color w:val="231F20"/>
        </w:rPr>
        <w:t>on</w:t>
      </w:r>
      <w:r>
        <w:rPr>
          <w:color w:val="231F20"/>
          <w:spacing w:val="7"/>
        </w:rPr>
        <w:t xml:space="preserve"> </w:t>
      </w:r>
      <w:r>
        <w:rPr>
          <w:color w:val="231F20"/>
        </w:rPr>
        <w:t>the</w:t>
      </w:r>
      <w:r>
        <w:rPr>
          <w:color w:val="231F20"/>
          <w:spacing w:val="6"/>
        </w:rPr>
        <w:t xml:space="preserve"> </w:t>
      </w:r>
      <w:r>
        <w:rPr>
          <w:color w:val="231F20"/>
        </w:rPr>
        <w:t>key</w:t>
      </w:r>
      <w:r>
        <w:rPr>
          <w:color w:val="231F20"/>
          <w:spacing w:val="6"/>
        </w:rPr>
        <w:t xml:space="preserve"> </w:t>
      </w:r>
      <w:r>
        <w:rPr>
          <w:color w:val="231F20"/>
        </w:rPr>
        <w:t>terminology</w:t>
      </w:r>
      <w:r>
        <w:rPr>
          <w:color w:val="231F20"/>
          <w:spacing w:val="6"/>
        </w:rPr>
        <w:t xml:space="preserve"> </w:t>
      </w:r>
      <w:r>
        <w:rPr>
          <w:color w:val="231F20"/>
        </w:rPr>
        <w:t>used</w:t>
      </w:r>
      <w:r>
        <w:rPr>
          <w:color w:val="231F20"/>
          <w:spacing w:val="7"/>
        </w:rPr>
        <w:t xml:space="preserve"> </w:t>
      </w:r>
      <w:r>
        <w:rPr>
          <w:color w:val="231F20"/>
        </w:rPr>
        <w:t>in</w:t>
      </w:r>
      <w:r>
        <w:rPr>
          <w:color w:val="231F20"/>
          <w:spacing w:val="6"/>
        </w:rPr>
        <w:t xml:space="preserve"> </w:t>
      </w:r>
      <w:r>
        <w:rPr>
          <w:color w:val="231F20"/>
        </w:rPr>
        <w:t>the</w:t>
      </w:r>
      <w:r>
        <w:rPr>
          <w:color w:val="231F20"/>
          <w:spacing w:val="6"/>
        </w:rPr>
        <w:t xml:space="preserve"> </w:t>
      </w:r>
      <w:r>
        <w:rPr>
          <w:color w:val="231F20"/>
        </w:rPr>
        <w:t>United</w:t>
      </w:r>
      <w:r>
        <w:rPr>
          <w:color w:val="231F20"/>
          <w:spacing w:val="6"/>
        </w:rPr>
        <w:t xml:space="preserve"> </w:t>
      </w:r>
      <w:r>
        <w:rPr>
          <w:color w:val="231F20"/>
        </w:rPr>
        <w:t>Reformed</w:t>
      </w:r>
      <w:r>
        <w:rPr>
          <w:color w:val="231F20"/>
          <w:spacing w:val="7"/>
        </w:rPr>
        <w:t xml:space="preserve"> </w:t>
      </w:r>
      <w:r>
        <w:rPr>
          <w:color w:val="231F20"/>
          <w:spacing w:val="-2"/>
        </w:rPr>
        <w:t>Church</w:t>
      </w:r>
    </w:p>
    <w:p w:rsidR="00B722CB" w:rsidRDefault="00000000">
      <w:pPr>
        <w:pStyle w:val="BodyText"/>
        <w:spacing w:before="12"/>
      </w:pPr>
      <w:r>
        <w:rPr>
          <w:color w:val="231F20"/>
        </w:rPr>
        <w:t>(</w:t>
      </w:r>
      <w:proofErr w:type="gramStart"/>
      <w:r>
        <w:rPr>
          <w:color w:val="231F20"/>
        </w:rPr>
        <w:t>both</w:t>
      </w:r>
      <w:proofErr w:type="gramEnd"/>
      <w:r>
        <w:rPr>
          <w:color w:val="231F20"/>
          <w:spacing w:val="6"/>
        </w:rPr>
        <w:t xml:space="preserve"> </w:t>
      </w:r>
      <w:r>
        <w:rPr>
          <w:color w:val="231F20"/>
        </w:rPr>
        <w:t>in</w:t>
      </w:r>
      <w:r>
        <w:rPr>
          <w:color w:val="231F20"/>
          <w:spacing w:val="8"/>
        </w:rPr>
        <w:t xml:space="preserve"> </w:t>
      </w:r>
      <w:r>
        <w:rPr>
          <w:color w:val="231F20"/>
        </w:rPr>
        <w:t>policy</w:t>
      </w:r>
      <w:r>
        <w:rPr>
          <w:color w:val="231F20"/>
          <w:spacing w:val="8"/>
        </w:rPr>
        <w:t xml:space="preserve"> </w:t>
      </w:r>
      <w:r>
        <w:rPr>
          <w:color w:val="231F20"/>
        </w:rPr>
        <w:t>and</w:t>
      </w:r>
      <w:r>
        <w:rPr>
          <w:color w:val="231F20"/>
          <w:spacing w:val="8"/>
        </w:rPr>
        <w:t xml:space="preserve"> </w:t>
      </w:r>
      <w:r>
        <w:rPr>
          <w:color w:val="231F20"/>
        </w:rPr>
        <w:t>associated</w:t>
      </w:r>
      <w:r>
        <w:rPr>
          <w:color w:val="231F20"/>
          <w:spacing w:val="8"/>
        </w:rPr>
        <w:t xml:space="preserve"> </w:t>
      </w:r>
      <w:r>
        <w:rPr>
          <w:color w:val="231F20"/>
        </w:rPr>
        <w:t>practice</w:t>
      </w:r>
      <w:r>
        <w:rPr>
          <w:color w:val="231F20"/>
          <w:spacing w:val="8"/>
        </w:rPr>
        <w:t xml:space="preserve"> </w:t>
      </w:r>
      <w:r>
        <w:rPr>
          <w:color w:val="231F20"/>
          <w:spacing w:val="-2"/>
        </w:rPr>
        <w:t>guidance).</w:t>
      </w:r>
    </w:p>
    <w:p w:rsidR="00B722CB" w:rsidRDefault="00B722CB">
      <w:pPr>
        <w:pStyle w:val="BodyText"/>
        <w:spacing w:before="135"/>
        <w:ind w:left="0"/>
        <w:rPr>
          <w:sz w:val="20"/>
        </w:rPr>
      </w:pPr>
    </w:p>
    <w:tbl>
      <w:tblPr>
        <w:tblW w:w="0" w:type="auto"/>
        <w:tblInd w:w="471"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725"/>
        <w:gridCol w:w="5091"/>
        <w:gridCol w:w="2638"/>
      </w:tblGrid>
      <w:tr w:rsidR="00B722CB">
        <w:trPr>
          <w:trHeight w:val="423"/>
        </w:trPr>
        <w:tc>
          <w:tcPr>
            <w:tcW w:w="2725" w:type="dxa"/>
          </w:tcPr>
          <w:p w:rsidR="00B722CB" w:rsidRDefault="00000000">
            <w:pPr>
              <w:pStyle w:val="TableParagraph"/>
              <w:rPr>
                <w:sz w:val="24"/>
              </w:rPr>
            </w:pPr>
            <w:r>
              <w:rPr>
                <w:color w:val="231F20"/>
                <w:sz w:val="24"/>
              </w:rPr>
              <w:t>Church</w:t>
            </w:r>
            <w:r>
              <w:rPr>
                <w:color w:val="231F20"/>
                <w:spacing w:val="-5"/>
                <w:sz w:val="24"/>
              </w:rPr>
              <w:t xml:space="preserve"> </w:t>
            </w:r>
            <w:r>
              <w:rPr>
                <w:color w:val="231F20"/>
                <w:spacing w:val="-2"/>
                <w:sz w:val="24"/>
              </w:rPr>
              <w:t>Officer</w:t>
            </w:r>
          </w:p>
        </w:tc>
        <w:tc>
          <w:tcPr>
            <w:tcW w:w="5091" w:type="dxa"/>
          </w:tcPr>
          <w:p w:rsidR="00B722CB" w:rsidRDefault="00000000">
            <w:pPr>
              <w:pStyle w:val="TableParagraph"/>
              <w:rPr>
                <w:sz w:val="24"/>
              </w:rPr>
            </w:pPr>
            <w:r>
              <w:rPr>
                <w:color w:val="231F20"/>
                <w:sz w:val="24"/>
              </w:rPr>
              <w:t>Any</w:t>
            </w:r>
            <w:r>
              <w:rPr>
                <w:color w:val="231F20"/>
                <w:spacing w:val="-3"/>
                <w:sz w:val="24"/>
              </w:rPr>
              <w:t xml:space="preserve"> </w:t>
            </w:r>
            <w:r>
              <w:rPr>
                <w:color w:val="231F20"/>
                <w:sz w:val="24"/>
              </w:rPr>
              <w:t>person</w:t>
            </w:r>
            <w:r>
              <w:rPr>
                <w:color w:val="231F20"/>
                <w:spacing w:val="-2"/>
                <w:sz w:val="24"/>
              </w:rPr>
              <w:t xml:space="preserve"> </w:t>
            </w:r>
            <w:r>
              <w:rPr>
                <w:color w:val="231F20"/>
                <w:sz w:val="24"/>
              </w:rPr>
              <w:t>in</w:t>
            </w:r>
            <w:r>
              <w:rPr>
                <w:color w:val="231F20"/>
                <w:spacing w:val="-2"/>
                <w:sz w:val="24"/>
              </w:rPr>
              <w:t xml:space="preserve"> </w:t>
            </w:r>
            <w:r>
              <w:rPr>
                <w:color w:val="231F20"/>
                <w:sz w:val="24"/>
              </w:rPr>
              <w:t>a</w:t>
            </w:r>
            <w:r>
              <w:rPr>
                <w:color w:val="231F20"/>
                <w:spacing w:val="-2"/>
                <w:sz w:val="24"/>
              </w:rPr>
              <w:t xml:space="preserve"> </w:t>
            </w:r>
            <w:r>
              <w:rPr>
                <w:color w:val="231F20"/>
                <w:sz w:val="24"/>
              </w:rPr>
              <w:t>role</w:t>
            </w:r>
            <w:r>
              <w:rPr>
                <w:color w:val="231F20"/>
                <w:spacing w:val="-2"/>
                <w:sz w:val="24"/>
              </w:rPr>
              <w:t xml:space="preserve"> </w:t>
            </w:r>
            <w:r>
              <w:rPr>
                <w:color w:val="231F20"/>
                <w:sz w:val="24"/>
              </w:rPr>
              <w:t>within</w:t>
            </w:r>
            <w:r>
              <w:rPr>
                <w:color w:val="231F20"/>
                <w:spacing w:val="-2"/>
                <w:sz w:val="24"/>
              </w:rPr>
              <w:t xml:space="preserve"> </w:t>
            </w:r>
            <w:r>
              <w:rPr>
                <w:color w:val="231F20"/>
                <w:sz w:val="24"/>
              </w:rPr>
              <w:t>the</w:t>
            </w:r>
            <w:r>
              <w:rPr>
                <w:color w:val="231F20"/>
                <w:spacing w:val="-2"/>
                <w:sz w:val="24"/>
              </w:rPr>
              <w:t xml:space="preserve"> </w:t>
            </w:r>
            <w:r>
              <w:rPr>
                <w:color w:val="231F20"/>
                <w:sz w:val="24"/>
              </w:rPr>
              <w:t>LEP</w:t>
            </w:r>
            <w:r>
              <w:rPr>
                <w:color w:val="231F20"/>
                <w:spacing w:val="-5"/>
                <w:sz w:val="24"/>
              </w:rPr>
              <w:t xml:space="preserve"> </w:t>
            </w:r>
            <w:r>
              <w:rPr>
                <w:color w:val="231F20"/>
                <w:spacing w:val="-2"/>
                <w:sz w:val="24"/>
              </w:rPr>
              <w:t>church</w:t>
            </w:r>
          </w:p>
        </w:tc>
        <w:tc>
          <w:tcPr>
            <w:tcW w:w="2638" w:type="dxa"/>
          </w:tcPr>
          <w:p w:rsidR="00B722CB" w:rsidRDefault="00000000">
            <w:pPr>
              <w:pStyle w:val="TableParagraph"/>
              <w:rPr>
                <w:sz w:val="24"/>
              </w:rPr>
            </w:pPr>
            <w:r>
              <w:rPr>
                <w:color w:val="231F20"/>
                <w:sz w:val="24"/>
              </w:rPr>
              <w:t>Section</w:t>
            </w:r>
            <w:r>
              <w:rPr>
                <w:color w:val="231F20"/>
                <w:spacing w:val="-6"/>
                <w:sz w:val="24"/>
              </w:rPr>
              <w:t xml:space="preserve"> </w:t>
            </w:r>
            <w:r>
              <w:rPr>
                <w:color w:val="231F20"/>
                <w:spacing w:val="-10"/>
                <w:sz w:val="24"/>
              </w:rPr>
              <w:t>1</w:t>
            </w:r>
          </w:p>
        </w:tc>
      </w:tr>
      <w:tr w:rsidR="00B722CB">
        <w:trPr>
          <w:trHeight w:val="637"/>
        </w:trPr>
        <w:tc>
          <w:tcPr>
            <w:tcW w:w="2725" w:type="dxa"/>
          </w:tcPr>
          <w:p w:rsidR="00B722CB" w:rsidRDefault="00000000">
            <w:pPr>
              <w:pStyle w:val="TableParagraph"/>
              <w:rPr>
                <w:sz w:val="24"/>
              </w:rPr>
            </w:pPr>
            <w:r>
              <w:rPr>
                <w:color w:val="231F20"/>
                <w:sz w:val="24"/>
              </w:rPr>
              <w:t>Church</w:t>
            </w:r>
            <w:r>
              <w:rPr>
                <w:color w:val="231F20"/>
                <w:spacing w:val="-5"/>
                <w:sz w:val="24"/>
              </w:rPr>
              <w:t xml:space="preserve"> </w:t>
            </w:r>
            <w:r>
              <w:rPr>
                <w:color w:val="231F20"/>
                <w:spacing w:val="-2"/>
                <w:sz w:val="24"/>
              </w:rPr>
              <w:t>Safeguarding</w:t>
            </w:r>
          </w:p>
          <w:p w:rsidR="00B722CB" w:rsidRDefault="00000000">
            <w:pPr>
              <w:pStyle w:val="TableParagraph"/>
              <w:spacing w:before="12"/>
              <w:rPr>
                <w:sz w:val="24"/>
              </w:rPr>
            </w:pPr>
            <w:r>
              <w:rPr>
                <w:color w:val="231F20"/>
                <w:spacing w:val="-2"/>
                <w:sz w:val="24"/>
              </w:rPr>
              <w:t>Officer</w:t>
            </w:r>
          </w:p>
        </w:tc>
        <w:tc>
          <w:tcPr>
            <w:tcW w:w="5091" w:type="dxa"/>
          </w:tcPr>
          <w:p w:rsidR="00B722CB" w:rsidRDefault="00000000">
            <w:pPr>
              <w:pStyle w:val="TableParagraph"/>
              <w:rPr>
                <w:sz w:val="24"/>
              </w:rPr>
            </w:pPr>
            <w:r>
              <w:rPr>
                <w:color w:val="231F20"/>
                <w:sz w:val="24"/>
              </w:rPr>
              <w:t>Church</w:t>
            </w:r>
            <w:r>
              <w:rPr>
                <w:color w:val="231F20"/>
                <w:spacing w:val="-8"/>
                <w:sz w:val="24"/>
              </w:rPr>
              <w:t xml:space="preserve"> </w:t>
            </w:r>
            <w:r>
              <w:rPr>
                <w:color w:val="231F20"/>
                <w:sz w:val="24"/>
              </w:rPr>
              <w:t>Safeguarding</w:t>
            </w:r>
            <w:r>
              <w:rPr>
                <w:color w:val="231F20"/>
                <w:spacing w:val="-8"/>
                <w:sz w:val="24"/>
              </w:rPr>
              <w:t xml:space="preserve"> </w:t>
            </w:r>
            <w:r>
              <w:rPr>
                <w:color w:val="231F20"/>
                <w:spacing w:val="-2"/>
                <w:sz w:val="24"/>
              </w:rPr>
              <w:t>Coordinator</w:t>
            </w:r>
          </w:p>
        </w:tc>
        <w:tc>
          <w:tcPr>
            <w:tcW w:w="2638" w:type="dxa"/>
          </w:tcPr>
          <w:p w:rsidR="00B722CB" w:rsidRDefault="00000000">
            <w:pPr>
              <w:pStyle w:val="TableParagraph"/>
              <w:rPr>
                <w:sz w:val="24"/>
              </w:rPr>
            </w:pPr>
            <w:r>
              <w:rPr>
                <w:color w:val="231F20"/>
                <w:sz w:val="24"/>
              </w:rPr>
              <w:t>Section</w:t>
            </w:r>
            <w:r>
              <w:rPr>
                <w:color w:val="231F20"/>
                <w:spacing w:val="-3"/>
                <w:sz w:val="24"/>
              </w:rPr>
              <w:t xml:space="preserve"> </w:t>
            </w:r>
            <w:r>
              <w:rPr>
                <w:color w:val="231F20"/>
                <w:sz w:val="24"/>
              </w:rPr>
              <w:t>3</w:t>
            </w:r>
            <w:r>
              <w:rPr>
                <w:color w:val="231F20"/>
                <w:spacing w:val="-3"/>
                <w:sz w:val="24"/>
              </w:rPr>
              <w:t xml:space="preserve"> </w:t>
            </w:r>
            <w:r>
              <w:rPr>
                <w:color w:val="231F20"/>
                <w:sz w:val="24"/>
              </w:rPr>
              <w:t>and</w:t>
            </w:r>
            <w:r>
              <w:rPr>
                <w:color w:val="231F20"/>
                <w:spacing w:val="-2"/>
                <w:sz w:val="24"/>
              </w:rPr>
              <w:t xml:space="preserve"> </w:t>
            </w:r>
            <w:r>
              <w:rPr>
                <w:color w:val="231F20"/>
                <w:spacing w:val="-10"/>
                <w:sz w:val="24"/>
              </w:rPr>
              <w:t>6</w:t>
            </w:r>
          </w:p>
        </w:tc>
      </w:tr>
      <w:tr w:rsidR="00B722CB">
        <w:trPr>
          <w:trHeight w:val="960"/>
        </w:trPr>
        <w:tc>
          <w:tcPr>
            <w:tcW w:w="2725" w:type="dxa"/>
          </w:tcPr>
          <w:p w:rsidR="00B722CB" w:rsidRDefault="00000000">
            <w:pPr>
              <w:pStyle w:val="TableParagraph"/>
              <w:rPr>
                <w:sz w:val="24"/>
              </w:rPr>
            </w:pPr>
            <w:r>
              <w:rPr>
                <w:color w:val="231F20"/>
                <w:spacing w:val="-2"/>
                <w:sz w:val="24"/>
              </w:rPr>
              <w:t>Clergy</w:t>
            </w:r>
          </w:p>
        </w:tc>
        <w:tc>
          <w:tcPr>
            <w:tcW w:w="5091" w:type="dxa"/>
          </w:tcPr>
          <w:p w:rsidR="00B722CB" w:rsidRDefault="00000000">
            <w:pPr>
              <w:pStyle w:val="TableParagraph"/>
              <w:spacing w:line="249" w:lineRule="auto"/>
              <w:rPr>
                <w:sz w:val="24"/>
              </w:rPr>
            </w:pPr>
            <w:r>
              <w:rPr>
                <w:color w:val="231F20"/>
                <w:sz w:val="24"/>
              </w:rPr>
              <w:t>Minister of Word and Sacrament, and/or Church</w:t>
            </w:r>
            <w:r>
              <w:rPr>
                <w:color w:val="231F20"/>
                <w:spacing w:val="-14"/>
                <w:sz w:val="24"/>
              </w:rPr>
              <w:t xml:space="preserve"> </w:t>
            </w:r>
            <w:r>
              <w:rPr>
                <w:color w:val="231F20"/>
                <w:sz w:val="24"/>
              </w:rPr>
              <w:t>Related</w:t>
            </w:r>
            <w:r>
              <w:rPr>
                <w:color w:val="231F20"/>
                <w:spacing w:val="-14"/>
                <w:sz w:val="24"/>
              </w:rPr>
              <w:t xml:space="preserve"> </w:t>
            </w:r>
            <w:r>
              <w:rPr>
                <w:color w:val="231F20"/>
                <w:sz w:val="24"/>
              </w:rPr>
              <w:t>Community</w:t>
            </w:r>
            <w:r>
              <w:rPr>
                <w:color w:val="231F20"/>
                <w:spacing w:val="-14"/>
                <w:sz w:val="24"/>
              </w:rPr>
              <w:t xml:space="preserve"> </w:t>
            </w:r>
            <w:r>
              <w:rPr>
                <w:color w:val="231F20"/>
                <w:sz w:val="24"/>
              </w:rPr>
              <w:t>Worker,</w:t>
            </w:r>
            <w:r>
              <w:rPr>
                <w:color w:val="231F20"/>
                <w:spacing w:val="-14"/>
                <w:sz w:val="24"/>
              </w:rPr>
              <w:t xml:space="preserve"> </w:t>
            </w:r>
            <w:r>
              <w:rPr>
                <w:color w:val="231F20"/>
                <w:sz w:val="24"/>
              </w:rPr>
              <w:t>interim moderator lay/ordained, or Elder</w:t>
            </w:r>
          </w:p>
        </w:tc>
        <w:tc>
          <w:tcPr>
            <w:tcW w:w="2638" w:type="dxa"/>
          </w:tcPr>
          <w:p w:rsidR="00B722CB" w:rsidRDefault="00000000">
            <w:pPr>
              <w:pStyle w:val="TableParagraph"/>
              <w:rPr>
                <w:sz w:val="24"/>
              </w:rPr>
            </w:pPr>
            <w:r>
              <w:rPr>
                <w:color w:val="231F20"/>
                <w:sz w:val="24"/>
              </w:rPr>
              <w:t>Section</w:t>
            </w:r>
            <w:r>
              <w:rPr>
                <w:color w:val="231F20"/>
                <w:spacing w:val="-3"/>
                <w:sz w:val="24"/>
              </w:rPr>
              <w:t xml:space="preserve"> </w:t>
            </w:r>
            <w:r>
              <w:rPr>
                <w:color w:val="231F20"/>
                <w:sz w:val="24"/>
              </w:rPr>
              <w:t>1</w:t>
            </w:r>
            <w:r>
              <w:rPr>
                <w:color w:val="231F20"/>
                <w:spacing w:val="-3"/>
                <w:sz w:val="24"/>
              </w:rPr>
              <w:t xml:space="preserve"> </w:t>
            </w:r>
            <w:r>
              <w:rPr>
                <w:color w:val="231F20"/>
                <w:sz w:val="24"/>
              </w:rPr>
              <w:t>and</w:t>
            </w:r>
            <w:r>
              <w:rPr>
                <w:color w:val="231F20"/>
                <w:spacing w:val="-2"/>
                <w:sz w:val="24"/>
              </w:rPr>
              <w:t xml:space="preserve"> </w:t>
            </w:r>
            <w:r>
              <w:rPr>
                <w:color w:val="231F20"/>
                <w:spacing w:val="-10"/>
                <w:sz w:val="24"/>
              </w:rPr>
              <w:t>5</w:t>
            </w:r>
          </w:p>
        </w:tc>
      </w:tr>
      <w:tr w:rsidR="00B722CB">
        <w:trPr>
          <w:trHeight w:val="656"/>
        </w:trPr>
        <w:tc>
          <w:tcPr>
            <w:tcW w:w="2725" w:type="dxa"/>
          </w:tcPr>
          <w:p w:rsidR="00B722CB" w:rsidRDefault="00000000">
            <w:pPr>
              <w:pStyle w:val="TableParagraph"/>
              <w:rPr>
                <w:sz w:val="24"/>
              </w:rPr>
            </w:pPr>
            <w:r>
              <w:rPr>
                <w:color w:val="231F20"/>
                <w:spacing w:val="-2"/>
                <w:sz w:val="24"/>
              </w:rPr>
              <w:t>Employees</w:t>
            </w:r>
          </w:p>
        </w:tc>
        <w:tc>
          <w:tcPr>
            <w:tcW w:w="5091" w:type="dxa"/>
          </w:tcPr>
          <w:p w:rsidR="00B722CB" w:rsidRDefault="00000000">
            <w:pPr>
              <w:pStyle w:val="TableParagraph"/>
              <w:rPr>
                <w:sz w:val="24"/>
              </w:rPr>
            </w:pPr>
            <w:r>
              <w:rPr>
                <w:color w:val="231F20"/>
                <w:sz w:val="24"/>
              </w:rPr>
              <w:t>Anyone</w:t>
            </w:r>
            <w:r>
              <w:rPr>
                <w:color w:val="231F20"/>
                <w:spacing w:val="-4"/>
                <w:sz w:val="24"/>
              </w:rPr>
              <w:t xml:space="preserve"> </w:t>
            </w:r>
            <w:r>
              <w:rPr>
                <w:color w:val="231F20"/>
                <w:sz w:val="24"/>
              </w:rPr>
              <w:t>employed</w:t>
            </w:r>
            <w:r>
              <w:rPr>
                <w:color w:val="231F20"/>
                <w:spacing w:val="-3"/>
                <w:sz w:val="24"/>
              </w:rPr>
              <w:t xml:space="preserve"> </w:t>
            </w:r>
            <w:r>
              <w:rPr>
                <w:color w:val="231F20"/>
                <w:sz w:val="24"/>
              </w:rPr>
              <w:t>by</w:t>
            </w:r>
            <w:r>
              <w:rPr>
                <w:color w:val="231F20"/>
                <w:spacing w:val="-3"/>
                <w:sz w:val="24"/>
              </w:rPr>
              <w:t xml:space="preserve"> </w:t>
            </w:r>
            <w:r>
              <w:rPr>
                <w:color w:val="231F20"/>
                <w:sz w:val="24"/>
              </w:rPr>
              <w:t>the</w:t>
            </w:r>
            <w:r>
              <w:rPr>
                <w:color w:val="231F20"/>
                <w:spacing w:val="-4"/>
                <w:sz w:val="24"/>
              </w:rPr>
              <w:t xml:space="preserve"> </w:t>
            </w:r>
            <w:r>
              <w:rPr>
                <w:color w:val="231F20"/>
                <w:sz w:val="24"/>
              </w:rPr>
              <w:t>LEP</w:t>
            </w:r>
            <w:r>
              <w:rPr>
                <w:color w:val="231F20"/>
                <w:spacing w:val="-7"/>
                <w:sz w:val="24"/>
              </w:rPr>
              <w:t xml:space="preserve"> </w:t>
            </w:r>
            <w:r>
              <w:rPr>
                <w:color w:val="231F20"/>
                <w:sz w:val="24"/>
              </w:rPr>
              <w:t>to</w:t>
            </w:r>
            <w:r>
              <w:rPr>
                <w:color w:val="231F20"/>
                <w:spacing w:val="-3"/>
                <w:sz w:val="24"/>
              </w:rPr>
              <w:t xml:space="preserve"> </w:t>
            </w:r>
            <w:r>
              <w:rPr>
                <w:color w:val="231F20"/>
                <w:sz w:val="24"/>
              </w:rPr>
              <w:t>undertake</w:t>
            </w:r>
            <w:r>
              <w:rPr>
                <w:color w:val="231F20"/>
                <w:spacing w:val="-3"/>
                <w:sz w:val="24"/>
              </w:rPr>
              <w:t xml:space="preserve"> </w:t>
            </w:r>
            <w:r>
              <w:rPr>
                <w:color w:val="231F20"/>
                <w:spacing w:val="-10"/>
                <w:sz w:val="24"/>
              </w:rPr>
              <w:t>a</w:t>
            </w:r>
          </w:p>
          <w:p w:rsidR="00B722CB" w:rsidRDefault="00000000">
            <w:pPr>
              <w:pStyle w:val="TableParagraph"/>
              <w:spacing w:before="12"/>
              <w:rPr>
                <w:sz w:val="24"/>
              </w:rPr>
            </w:pPr>
            <w:r>
              <w:rPr>
                <w:color w:val="231F20"/>
                <w:sz w:val="24"/>
              </w:rPr>
              <w:t>paid</w:t>
            </w:r>
            <w:r>
              <w:rPr>
                <w:color w:val="231F20"/>
                <w:spacing w:val="-4"/>
                <w:sz w:val="24"/>
              </w:rPr>
              <w:t xml:space="preserve"> </w:t>
            </w:r>
            <w:r>
              <w:rPr>
                <w:color w:val="231F20"/>
                <w:sz w:val="24"/>
              </w:rPr>
              <w:t>role</w:t>
            </w:r>
            <w:r>
              <w:rPr>
                <w:color w:val="231F20"/>
                <w:spacing w:val="-3"/>
                <w:sz w:val="24"/>
              </w:rPr>
              <w:t xml:space="preserve"> </w:t>
            </w:r>
            <w:r>
              <w:rPr>
                <w:color w:val="231F20"/>
                <w:sz w:val="24"/>
              </w:rPr>
              <w:t>within</w:t>
            </w:r>
            <w:r>
              <w:rPr>
                <w:color w:val="231F20"/>
                <w:spacing w:val="-4"/>
                <w:sz w:val="24"/>
              </w:rPr>
              <w:t xml:space="preserve"> </w:t>
            </w:r>
            <w:r>
              <w:rPr>
                <w:color w:val="231F20"/>
                <w:sz w:val="24"/>
              </w:rPr>
              <w:t>the</w:t>
            </w:r>
            <w:r>
              <w:rPr>
                <w:color w:val="231F20"/>
                <w:spacing w:val="-3"/>
                <w:sz w:val="24"/>
              </w:rPr>
              <w:t xml:space="preserve"> </w:t>
            </w:r>
            <w:r>
              <w:rPr>
                <w:color w:val="231F20"/>
                <w:sz w:val="24"/>
              </w:rPr>
              <w:t>local</w:t>
            </w:r>
            <w:r>
              <w:rPr>
                <w:color w:val="231F20"/>
                <w:spacing w:val="-3"/>
                <w:sz w:val="24"/>
              </w:rPr>
              <w:t xml:space="preserve"> </w:t>
            </w:r>
            <w:r>
              <w:rPr>
                <w:color w:val="231F20"/>
                <w:spacing w:val="-2"/>
                <w:sz w:val="24"/>
              </w:rPr>
              <w:t>church</w:t>
            </w:r>
          </w:p>
        </w:tc>
        <w:tc>
          <w:tcPr>
            <w:tcW w:w="2638" w:type="dxa"/>
          </w:tcPr>
          <w:p w:rsidR="00B722CB" w:rsidRDefault="00000000">
            <w:pPr>
              <w:pStyle w:val="TableParagraph"/>
              <w:rPr>
                <w:sz w:val="24"/>
              </w:rPr>
            </w:pPr>
            <w:r>
              <w:rPr>
                <w:color w:val="231F20"/>
                <w:sz w:val="24"/>
              </w:rPr>
              <w:t>Section</w:t>
            </w:r>
            <w:r>
              <w:rPr>
                <w:color w:val="231F20"/>
                <w:spacing w:val="-3"/>
                <w:sz w:val="24"/>
              </w:rPr>
              <w:t xml:space="preserve"> </w:t>
            </w:r>
            <w:r>
              <w:rPr>
                <w:color w:val="231F20"/>
                <w:sz w:val="24"/>
              </w:rPr>
              <w:t>5</w:t>
            </w:r>
            <w:r>
              <w:rPr>
                <w:color w:val="231F20"/>
                <w:spacing w:val="-3"/>
                <w:sz w:val="24"/>
              </w:rPr>
              <w:t xml:space="preserve"> </w:t>
            </w:r>
            <w:r>
              <w:rPr>
                <w:color w:val="231F20"/>
                <w:sz w:val="24"/>
              </w:rPr>
              <w:t>and</w:t>
            </w:r>
            <w:r>
              <w:rPr>
                <w:color w:val="231F20"/>
                <w:spacing w:val="-2"/>
                <w:sz w:val="24"/>
              </w:rPr>
              <w:t xml:space="preserve"> </w:t>
            </w:r>
            <w:r>
              <w:rPr>
                <w:color w:val="231F20"/>
                <w:spacing w:val="-5"/>
                <w:sz w:val="24"/>
              </w:rPr>
              <w:t>11</w:t>
            </w:r>
          </w:p>
        </w:tc>
      </w:tr>
      <w:tr w:rsidR="00B722CB">
        <w:trPr>
          <w:trHeight w:val="1514"/>
        </w:trPr>
        <w:tc>
          <w:tcPr>
            <w:tcW w:w="2725" w:type="dxa"/>
          </w:tcPr>
          <w:p w:rsidR="00B722CB" w:rsidRDefault="00000000">
            <w:pPr>
              <w:pStyle w:val="TableParagraph"/>
              <w:rPr>
                <w:sz w:val="24"/>
              </w:rPr>
            </w:pPr>
            <w:r>
              <w:rPr>
                <w:color w:val="231F20"/>
                <w:sz w:val="24"/>
              </w:rPr>
              <w:t xml:space="preserve">Lay </w:t>
            </w:r>
            <w:r>
              <w:rPr>
                <w:color w:val="231F20"/>
                <w:spacing w:val="-2"/>
                <w:sz w:val="24"/>
              </w:rPr>
              <w:t>workers/local</w:t>
            </w:r>
          </w:p>
          <w:p w:rsidR="00B722CB" w:rsidRDefault="00000000">
            <w:pPr>
              <w:pStyle w:val="TableParagraph"/>
              <w:spacing w:before="12"/>
              <w:rPr>
                <w:sz w:val="24"/>
              </w:rPr>
            </w:pPr>
            <w:r>
              <w:rPr>
                <w:color w:val="231F20"/>
                <w:spacing w:val="-2"/>
                <w:sz w:val="24"/>
              </w:rPr>
              <w:t>preachers</w:t>
            </w:r>
          </w:p>
        </w:tc>
        <w:tc>
          <w:tcPr>
            <w:tcW w:w="5091" w:type="dxa"/>
          </w:tcPr>
          <w:p w:rsidR="00B722CB" w:rsidRDefault="00000000">
            <w:pPr>
              <w:pStyle w:val="TableParagraph"/>
              <w:spacing w:line="249" w:lineRule="auto"/>
              <w:ind w:right="606"/>
              <w:rPr>
                <w:sz w:val="24"/>
              </w:rPr>
            </w:pPr>
            <w:r>
              <w:rPr>
                <w:color w:val="231F20"/>
                <w:sz w:val="24"/>
              </w:rPr>
              <w:t>Assembly Accredited Lay Preachers, Assembly</w:t>
            </w:r>
            <w:r>
              <w:rPr>
                <w:color w:val="231F20"/>
                <w:spacing w:val="-17"/>
                <w:sz w:val="24"/>
              </w:rPr>
              <w:t xml:space="preserve"> </w:t>
            </w:r>
            <w:r>
              <w:rPr>
                <w:color w:val="231F20"/>
                <w:sz w:val="24"/>
              </w:rPr>
              <w:t>Accredited</w:t>
            </w:r>
            <w:r>
              <w:rPr>
                <w:color w:val="231F20"/>
                <w:spacing w:val="-17"/>
                <w:sz w:val="24"/>
              </w:rPr>
              <w:t xml:space="preserve"> </w:t>
            </w:r>
            <w:r>
              <w:rPr>
                <w:color w:val="231F20"/>
                <w:sz w:val="24"/>
              </w:rPr>
              <w:t>Lay</w:t>
            </w:r>
            <w:r>
              <w:rPr>
                <w:color w:val="231F20"/>
                <w:spacing w:val="-16"/>
                <w:sz w:val="24"/>
              </w:rPr>
              <w:t xml:space="preserve"> </w:t>
            </w:r>
            <w:r>
              <w:rPr>
                <w:color w:val="231F20"/>
                <w:sz w:val="24"/>
              </w:rPr>
              <w:t>Pioneer,</w:t>
            </w:r>
            <w:r>
              <w:rPr>
                <w:color w:val="231F20"/>
                <w:spacing w:val="-14"/>
                <w:sz w:val="24"/>
              </w:rPr>
              <w:t xml:space="preserve"> </w:t>
            </w:r>
            <w:r>
              <w:rPr>
                <w:color w:val="231F20"/>
                <w:sz w:val="24"/>
              </w:rPr>
              <w:t>Elder in local leadership or equivalent, Synod</w:t>
            </w:r>
          </w:p>
          <w:p w:rsidR="00B722CB" w:rsidRDefault="00000000">
            <w:pPr>
              <w:pStyle w:val="TableParagraph"/>
              <w:spacing w:before="3"/>
              <w:rPr>
                <w:sz w:val="24"/>
              </w:rPr>
            </w:pPr>
            <w:r>
              <w:rPr>
                <w:color w:val="231F20"/>
                <w:sz w:val="24"/>
              </w:rPr>
              <w:t>Appointed</w:t>
            </w:r>
            <w:r>
              <w:rPr>
                <w:color w:val="231F20"/>
                <w:spacing w:val="-2"/>
                <w:sz w:val="24"/>
              </w:rPr>
              <w:t xml:space="preserve"> </w:t>
            </w:r>
            <w:r>
              <w:rPr>
                <w:color w:val="231F20"/>
                <w:sz w:val="24"/>
              </w:rPr>
              <w:t>Lay</w:t>
            </w:r>
            <w:r>
              <w:rPr>
                <w:color w:val="231F20"/>
                <w:spacing w:val="-2"/>
                <w:sz w:val="24"/>
              </w:rPr>
              <w:t xml:space="preserve"> </w:t>
            </w:r>
            <w:r>
              <w:rPr>
                <w:color w:val="231F20"/>
                <w:sz w:val="24"/>
              </w:rPr>
              <w:t>Preachers,</w:t>
            </w:r>
            <w:r>
              <w:rPr>
                <w:color w:val="231F20"/>
                <w:spacing w:val="-2"/>
                <w:sz w:val="24"/>
              </w:rPr>
              <w:t xml:space="preserve"> </w:t>
            </w:r>
            <w:r>
              <w:rPr>
                <w:color w:val="231F20"/>
                <w:sz w:val="24"/>
              </w:rPr>
              <w:t>Locally</w:t>
            </w:r>
            <w:r>
              <w:rPr>
                <w:color w:val="231F20"/>
                <w:spacing w:val="-2"/>
                <w:sz w:val="24"/>
              </w:rPr>
              <w:t xml:space="preserve"> </w:t>
            </w:r>
            <w:proofErr w:type="spellStart"/>
            <w:r>
              <w:rPr>
                <w:color w:val="231F20"/>
                <w:spacing w:val="-2"/>
                <w:sz w:val="24"/>
              </w:rPr>
              <w:t>Recognised</w:t>
            </w:r>
            <w:proofErr w:type="spellEnd"/>
          </w:p>
          <w:p w:rsidR="00B722CB" w:rsidRDefault="00000000">
            <w:pPr>
              <w:pStyle w:val="TableParagraph"/>
              <w:spacing w:before="12"/>
              <w:rPr>
                <w:sz w:val="24"/>
              </w:rPr>
            </w:pPr>
            <w:r>
              <w:rPr>
                <w:color w:val="231F20"/>
                <w:sz w:val="24"/>
              </w:rPr>
              <w:t>Worship</w:t>
            </w:r>
            <w:r>
              <w:rPr>
                <w:color w:val="231F20"/>
                <w:spacing w:val="-9"/>
                <w:sz w:val="24"/>
              </w:rPr>
              <w:t xml:space="preserve"> </w:t>
            </w:r>
            <w:r>
              <w:rPr>
                <w:color w:val="231F20"/>
                <w:sz w:val="24"/>
              </w:rPr>
              <w:t>Leader,</w:t>
            </w:r>
            <w:r>
              <w:rPr>
                <w:color w:val="231F20"/>
                <w:spacing w:val="-8"/>
                <w:sz w:val="24"/>
              </w:rPr>
              <w:t xml:space="preserve"> </w:t>
            </w:r>
            <w:r>
              <w:rPr>
                <w:color w:val="231F20"/>
                <w:sz w:val="24"/>
              </w:rPr>
              <w:t>all</w:t>
            </w:r>
            <w:r>
              <w:rPr>
                <w:color w:val="231F20"/>
                <w:spacing w:val="-8"/>
                <w:sz w:val="24"/>
              </w:rPr>
              <w:t xml:space="preserve"> </w:t>
            </w:r>
            <w:r>
              <w:rPr>
                <w:color w:val="231F20"/>
                <w:spacing w:val="-2"/>
                <w:sz w:val="24"/>
              </w:rPr>
              <w:t>Elders</w:t>
            </w:r>
          </w:p>
        </w:tc>
        <w:tc>
          <w:tcPr>
            <w:tcW w:w="2638" w:type="dxa"/>
          </w:tcPr>
          <w:p w:rsidR="00B722CB" w:rsidRDefault="00000000">
            <w:pPr>
              <w:pStyle w:val="TableParagraph"/>
              <w:rPr>
                <w:sz w:val="24"/>
              </w:rPr>
            </w:pPr>
            <w:r>
              <w:rPr>
                <w:color w:val="231F20"/>
                <w:sz w:val="24"/>
              </w:rPr>
              <w:t>Section</w:t>
            </w:r>
            <w:r>
              <w:rPr>
                <w:color w:val="231F20"/>
                <w:spacing w:val="-3"/>
                <w:sz w:val="24"/>
              </w:rPr>
              <w:t xml:space="preserve"> </w:t>
            </w:r>
            <w:r>
              <w:rPr>
                <w:color w:val="231F20"/>
                <w:sz w:val="24"/>
              </w:rPr>
              <w:t>5</w:t>
            </w:r>
            <w:r>
              <w:rPr>
                <w:color w:val="231F20"/>
                <w:spacing w:val="-3"/>
                <w:sz w:val="24"/>
              </w:rPr>
              <w:t xml:space="preserve"> </w:t>
            </w:r>
            <w:r>
              <w:rPr>
                <w:color w:val="231F20"/>
                <w:sz w:val="24"/>
              </w:rPr>
              <w:t>and</w:t>
            </w:r>
            <w:r>
              <w:rPr>
                <w:color w:val="231F20"/>
                <w:spacing w:val="-2"/>
                <w:sz w:val="24"/>
              </w:rPr>
              <w:t xml:space="preserve"> </w:t>
            </w:r>
            <w:r>
              <w:rPr>
                <w:color w:val="231F20"/>
                <w:spacing w:val="-10"/>
                <w:sz w:val="24"/>
              </w:rPr>
              <w:t>7</w:t>
            </w:r>
          </w:p>
        </w:tc>
      </w:tr>
      <w:tr w:rsidR="00B722CB">
        <w:trPr>
          <w:trHeight w:val="1291"/>
        </w:trPr>
        <w:tc>
          <w:tcPr>
            <w:tcW w:w="2725" w:type="dxa"/>
          </w:tcPr>
          <w:p w:rsidR="00B722CB" w:rsidRDefault="00000000">
            <w:pPr>
              <w:pStyle w:val="TableParagraph"/>
              <w:rPr>
                <w:sz w:val="24"/>
              </w:rPr>
            </w:pPr>
            <w:r>
              <w:rPr>
                <w:color w:val="231F20"/>
                <w:sz w:val="24"/>
              </w:rPr>
              <w:t>Ordained</w:t>
            </w:r>
            <w:r>
              <w:rPr>
                <w:color w:val="231F20"/>
                <w:spacing w:val="-7"/>
                <w:sz w:val="24"/>
              </w:rPr>
              <w:t xml:space="preserve"> </w:t>
            </w:r>
            <w:r>
              <w:rPr>
                <w:color w:val="231F20"/>
                <w:spacing w:val="-2"/>
                <w:sz w:val="24"/>
              </w:rPr>
              <w:t>ministers</w:t>
            </w:r>
          </w:p>
        </w:tc>
        <w:tc>
          <w:tcPr>
            <w:tcW w:w="5091" w:type="dxa"/>
          </w:tcPr>
          <w:p w:rsidR="00B722CB" w:rsidRDefault="00000000">
            <w:pPr>
              <w:pStyle w:val="TableParagraph"/>
              <w:spacing w:line="249" w:lineRule="auto"/>
              <w:ind w:right="324"/>
              <w:jc w:val="both"/>
              <w:rPr>
                <w:sz w:val="24"/>
              </w:rPr>
            </w:pPr>
            <w:r>
              <w:rPr>
                <w:color w:val="231F20"/>
                <w:sz w:val="24"/>
              </w:rPr>
              <w:t>Ordained Minister of Word and Sacrament, Commissioned Church Related Community Worker,</w:t>
            </w:r>
            <w:r>
              <w:rPr>
                <w:color w:val="231F20"/>
                <w:spacing w:val="-17"/>
                <w:sz w:val="24"/>
              </w:rPr>
              <w:t xml:space="preserve"> </w:t>
            </w:r>
            <w:r>
              <w:rPr>
                <w:color w:val="231F20"/>
                <w:sz w:val="24"/>
              </w:rPr>
              <w:t>Ordained</w:t>
            </w:r>
            <w:r>
              <w:rPr>
                <w:color w:val="231F20"/>
                <w:spacing w:val="-17"/>
                <w:sz w:val="24"/>
              </w:rPr>
              <w:t xml:space="preserve"> </w:t>
            </w:r>
            <w:r>
              <w:rPr>
                <w:color w:val="231F20"/>
                <w:sz w:val="24"/>
              </w:rPr>
              <w:t>Elder,</w:t>
            </w:r>
            <w:r>
              <w:rPr>
                <w:color w:val="231F20"/>
                <w:spacing w:val="-16"/>
                <w:sz w:val="24"/>
              </w:rPr>
              <w:t xml:space="preserve"> </w:t>
            </w:r>
            <w:r>
              <w:rPr>
                <w:color w:val="231F20"/>
                <w:sz w:val="24"/>
              </w:rPr>
              <w:t>Commissioned</w:t>
            </w:r>
            <w:r>
              <w:rPr>
                <w:color w:val="231F20"/>
                <w:spacing w:val="-17"/>
                <w:sz w:val="24"/>
              </w:rPr>
              <w:t xml:space="preserve"> </w:t>
            </w:r>
            <w:r>
              <w:rPr>
                <w:color w:val="231F20"/>
                <w:sz w:val="24"/>
              </w:rPr>
              <w:t>Lay Preachers, Assembly Lay Pioneer</w:t>
            </w:r>
          </w:p>
        </w:tc>
        <w:tc>
          <w:tcPr>
            <w:tcW w:w="2638" w:type="dxa"/>
          </w:tcPr>
          <w:p w:rsidR="00B722CB" w:rsidRDefault="00000000">
            <w:pPr>
              <w:pStyle w:val="TableParagraph"/>
              <w:rPr>
                <w:sz w:val="24"/>
              </w:rPr>
            </w:pPr>
            <w:r>
              <w:rPr>
                <w:color w:val="231F20"/>
                <w:sz w:val="24"/>
              </w:rPr>
              <w:t>Section</w:t>
            </w:r>
            <w:r>
              <w:rPr>
                <w:color w:val="231F20"/>
                <w:spacing w:val="-6"/>
                <w:sz w:val="24"/>
              </w:rPr>
              <w:t xml:space="preserve"> </w:t>
            </w:r>
            <w:r>
              <w:rPr>
                <w:color w:val="231F20"/>
                <w:spacing w:val="-10"/>
                <w:sz w:val="24"/>
              </w:rPr>
              <w:t>7</w:t>
            </w:r>
          </w:p>
        </w:tc>
      </w:tr>
      <w:tr w:rsidR="00B722CB">
        <w:trPr>
          <w:trHeight w:val="422"/>
        </w:trPr>
        <w:tc>
          <w:tcPr>
            <w:tcW w:w="2725" w:type="dxa"/>
          </w:tcPr>
          <w:p w:rsidR="00B722CB" w:rsidRDefault="00000000">
            <w:pPr>
              <w:pStyle w:val="TableParagraph"/>
              <w:rPr>
                <w:sz w:val="24"/>
              </w:rPr>
            </w:pPr>
            <w:r>
              <w:rPr>
                <w:color w:val="231F20"/>
                <w:sz w:val="24"/>
              </w:rPr>
              <w:t xml:space="preserve">Relevant </w:t>
            </w:r>
            <w:r>
              <w:rPr>
                <w:color w:val="231F20"/>
                <w:spacing w:val="-2"/>
                <w:sz w:val="24"/>
              </w:rPr>
              <w:t>authority</w:t>
            </w:r>
          </w:p>
        </w:tc>
        <w:tc>
          <w:tcPr>
            <w:tcW w:w="5091" w:type="dxa"/>
          </w:tcPr>
          <w:p w:rsidR="00B722CB" w:rsidRDefault="00000000">
            <w:pPr>
              <w:pStyle w:val="TableParagraph"/>
              <w:rPr>
                <w:sz w:val="24"/>
              </w:rPr>
            </w:pPr>
            <w:r>
              <w:rPr>
                <w:color w:val="231F20"/>
                <w:sz w:val="24"/>
              </w:rPr>
              <w:t>Local</w:t>
            </w:r>
            <w:r>
              <w:rPr>
                <w:color w:val="231F20"/>
                <w:spacing w:val="-5"/>
                <w:sz w:val="24"/>
              </w:rPr>
              <w:t xml:space="preserve"> </w:t>
            </w:r>
            <w:r>
              <w:rPr>
                <w:color w:val="231F20"/>
                <w:sz w:val="24"/>
              </w:rPr>
              <w:t>Church</w:t>
            </w:r>
            <w:r>
              <w:rPr>
                <w:color w:val="231F20"/>
                <w:spacing w:val="-4"/>
                <w:sz w:val="24"/>
              </w:rPr>
              <w:t xml:space="preserve"> </w:t>
            </w:r>
            <w:r>
              <w:rPr>
                <w:color w:val="231F20"/>
                <w:spacing w:val="-2"/>
                <w:sz w:val="24"/>
              </w:rPr>
              <w:t>Meeting</w:t>
            </w:r>
          </w:p>
        </w:tc>
        <w:tc>
          <w:tcPr>
            <w:tcW w:w="2638" w:type="dxa"/>
          </w:tcPr>
          <w:p w:rsidR="00B722CB" w:rsidRDefault="00000000">
            <w:pPr>
              <w:pStyle w:val="TableParagraph"/>
              <w:rPr>
                <w:sz w:val="24"/>
              </w:rPr>
            </w:pPr>
            <w:r>
              <w:rPr>
                <w:color w:val="231F20"/>
                <w:sz w:val="24"/>
              </w:rPr>
              <w:t>Section</w:t>
            </w:r>
            <w:r>
              <w:rPr>
                <w:color w:val="231F20"/>
                <w:spacing w:val="-6"/>
                <w:sz w:val="24"/>
              </w:rPr>
              <w:t xml:space="preserve"> </w:t>
            </w:r>
            <w:r>
              <w:rPr>
                <w:color w:val="231F20"/>
                <w:spacing w:val="-10"/>
                <w:sz w:val="24"/>
              </w:rPr>
              <w:t>2</w:t>
            </w:r>
          </w:p>
        </w:tc>
      </w:tr>
      <w:tr w:rsidR="00B722CB">
        <w:trPr>
          <w:trHeight w:val="694"/>
        </w:trPr>
        <w:tc>
          <w:tcPr>
            <w:tcW w:w="2725" w:type="dxa"/>
          </w:tcPr>
          <w:p w:rsidR="00B722CB" w:rsidRDefault="00000000">
            <w:pPr>
              <w:pStyle w:val="TableParagraph"/>
              <w:rPr>
                <w:sz w:val="24"/>
              </w:rPr>
            </w:pPr>
            <w:r>
              <w:rPr>
                <w:color w:val="231F20"/>
                <w:sz w:val="24"/>
              </w:rPr>
              <w:t>Safeguarding</w:t>
            </w:r>
            <w:r>
              <w:rPr>
                <w:color w:val="231F20"/>
                <w:spacing w:val="-11"/>
                <w:sz w:val="24"/>
              </w:rPr>
              <w:t xml:space="preserve"> </w:t>
            </w:r>
            <w:r>
              <w:rPr>
                <w:color w:val="231F20"/>
                <w:spacing w:val="-2"/>
                <w:sz w:val="24"/>
              </w:rPr>
              <w:t>Officers</w:t>
            </w:r>
          </w:p>
        </w:tc>
        <w:tc>
          <w:tcPr>
            <w:tcW w:w="5091" w:type="dxa"/>
          </w:tcPr>
          <w:p w:rsidR="00B722CB" w:rsidRDefault="00000000">
            <w:pPr>
              <w:pStyle w:val="TableParagraph"/>
              <w:rPr>
                <w:sz w:val="24"/>
              </w:rPr>
            </w:pPr>
            <w:r>
              <w:rPr>
                <w:color w:val="231F20"/>
                <w:sz w:val="24"/>
              </w:rPr>
              <w:t>Synod</w:t>
            </w:r>
            <w:r>
              <w:rPr>
                <w:color w:val="231F20"/>
                <w:spacing w:val="-7"/>
                <w:sz w:val="24"/>
              </w:rPr>
              <w:t xml:space="preserve"> </w:t>
            </w:r>
            <w:r>
              <w:rPr>
                <w:color w:val="231F20"/>
                <w:sz w:val="24"/>
              </w:rPr>
              <w:t>Safeguarding</w:t>
            </w:r>
            <w:r>
              <w:rPr>
                <w:color w:val="231F20"/>
                <w:spacing w:val="-6"/>
                <w:sz w:val="24"/>
              </w:rPr>
              <w:t xml:space="preserve"> </w:t>
            </w:r>
            <w:r>
              <w:rPr>
                <w:color w:val="231F20"/>
                <w:sz w:val="24"/>
              </w:rPr>
              <w:t>Officers</w:t>
            </w:r>
            <w:r>
              <w:rPr>
                <w:color w:val="231F20"/>
                <w:spacing w:val="-6"/>
                <w:sz w:val="24"/>
              </w:rPr>
              <w:t xml:space="preserve"> </w:t>
            </w:r>
            <w:r>
              <w:rPr>
                <w:color w:val="231F20"/>
                <w:sz w:val="24"/>
              </w:rPr>
              <w:t>and</w:t>
            </w:r>
            <w:r>
              <w:rPr>
                <w:color w:val="231F20"/>
                <w:spacing w:val="-7"/>
                <w:sz w:val="24"/>
              </w:rPr>
              <w:t xml:space="preserve"> </w:t>
            </w:r>
            <w:r>
              <w:rPr>
                <w:color w:val="231F20"/>
                <w:spacing w:val="-2"/>
                <w:sz w:val="24"/>
              </w:rPr>
              <w:t>Designated</w:t>
            </w:r>
          </w:p>
          <w:p w:rsidR="00B722CB" w:rsidRDefault="00000000">
            <w:pPr>
              <w:pStyle w:val="TableParagraph"/>
              <w:spacing w:before="12"/>
              <w:rPr>
                <w:sz w:val="24"/>
              </w:rPr>
            </w:pPr>
            <w:r>
              <w:rPr>
                <w:color w:val="231F20"/>
                <w:sz w:val="24"/>
              </w:rPr>
              <w:t>Safeguarding</w:t>
            </w:r>
            <w:r>
              <w:rPr>
                <w:color w:val="231F20"/>
                <w:spacing w:val="-11"/>
                <w:sz w:val="24"/>
              </w:rPr>
              <w:t xml:space="preserve"> </w:t>
            </w:r>
            <w:r>
              <w:rPr>
                <w:color w:val="231F20"/>
                <w:spacing w:val="-4"/>
                <w:sz w:val="24"/>
              </w:rPr>
              <w:t>Lead</w:t>
            </w:r>
          </w:p>
        </w:tc>
        <w:tc>
          <w:tcPr>
            <w:tcW w:w="2638" w:type="dxa"/>
          </w:tcPr>
          <w:p w:rsidR="00B722CB" w:rsidRDefault="00000000">
            <w:pPr>
              <w:pStyle w:val="TableParagraph"/>
              <w:rPr>
                <w:sz w:val="24"/>
              </w:rPr>
            </w:pPr>
            <w:r>
              <w:rPr>
                <w:color w:val="231F20"/>
                <w:sz w:val="24"/>
              </w:rPr>
              <w:t>Section</w:t>
            </w:r>
            <w:r>
              <w:rPr>
                <w:color w:val="231F20"/>
                <w:spacing w:val="-2"/>
                <w:sz w:val="24"/>
              </w:rPr>
              <w:t xml:space="preserve"> </w:t>
            </w:r>
            <w:r>
              <w:rPr>
                <w:color w:val="231F20"/>
                <w:sz w:val="24"/>
              </w:rPr>
              <w:t>1,</w:t>
            </w:r>
            <w:r>
              <w:rPr>
                <w:color w:val="231F20"/>
                <w:spacing w:val="-2"/>
                <w:sz w:val="24"/>
              </w:rPr>
              <w:t xml:space="preserve"> </w:t>
            </w:r>
            <w:r>
              <w:rPr>
                <w:color w:val="231F20"/>
                <w:sz w:val="24"/>
              </w:rPr>
              <w:t>6,</w:t>
            </w:r>
            <w:r>
              <w:rPr>
                <w:color w:val="231F20"/>
                <w:spacing w:val="-1"/>
                <w:sz w:val="24"/>
              </w:rPr>
              <w:t xml:space="preserve"> </w:t>
            </w:r>
            <w:r>
              <w:rPr>
                <w:color w:val="231F20"/>
                <w:sz w:val="24"/>
              </w:rPr>
              <w:t>7</w:t>
            </w:r>
            <w:r>
              <w:rPr>
                <w:color w:val="231F20"/>
                <w:spacing w:val="-2"/>
                <w:sz w:val="24"/>
              </w:rPr>
              <w:t xml:space="preserve"> </w:t>
            </w:r>
            <w:r>
              <w:rPr>
                <w:color w:val="231F20"/>
                <w:sz w:val="24"/>
              </w:rPr>
              <w:t>and</w:t>
            </w:r>
            <w:r>
              <w:rPr>
                <w:color w:val="231F20"/>
                <w:spacing w:val="-1"/>
                <w:sz w:val="24"/>
              </w:rPr>
              <w:t xml:space="preserve"> </w:t>
            </w:r>
            <w:r>
              <w:rPr>
                <w:color w:val="231F20"/>
                <w:spacing w:val="-10"/>
                <w:sz w:val="24"/>
              </w:rPr>
              <w:t>9</w:t>
            </w:r>
          </w:p>
        </w:tc>
      </w:tr>
      <w:tr w:rsidR="00B722CB">
        <w:trPr>
          <w:trHeight w:val="410"/>
        </w:trPr>
        <w:tc>
          <w:tcPr>
            <w:tcW w:w="2725" w:type="dxa"/>
          </w:tcPr>
          <w:p w:rsidR="00B722CB" w:rsidRDefault="00000000">
            <w:pPr>
              <w:pStyle w:val="TableParagraph"/>
              <w:rPr>
                <w:sz w:val="24"/>
              </w:rPr>
            </w:pPr>
            <w:r>
              <w:rPr>
                <w:color w:val="231F20"/>
                <w:spacing w:val="-2"/>
                <w:sz w:val="24"/>
              </w:rPr>
              <w:t>Trustees</w:t>
            </w:r>
          </w:p>
        </w:tc>
        <w:tc>
          <w:tcPr>
            <w:tcW w:w="5091" w:type="dxa"/>
          </w:tcPr>
          <w:p w:rsidR="00B722CB" w:rsidRDefault="00000000">
            <w:pPr>
              <w:pStyle w:val="TableParagraph"/>
              <w:rPr>
                <w:sz w:val="24"/>
              </w:rPr>
            </w:pPr>
            <w:r>
              <w:rPr>
                <w:color w:val="231F20"/>
                <w:sz w:val="24"/>
              </w:rPr>
              <w:t>Active</w:t>
            </w:r>
            <w:r>
              <w:rPr>
                <w:color w:val="231F20"/>
                <w:spacing w:val="-5"/>
                <w:sz w:val="24"/>
              </w:rPr>
              <w:t xml:space="preserve"> </w:t>
            </w:r>
            <w:r>
              <w:rPr>
                <w:color w:val="231F20"/>
                <w:sz w:val="24"/>
              </w:rPr>
              <w:t>Elders</w:t>
            </w:r>
            <w:r>
              <w:rPr>
                <w:color w:val="231F20"/>
                <w:spacing w:val="-2"/>
                <w:sz w:val="24"/>
              </w:rPr>
              <w:t xml:space="preserve"> </w:t>
            </w:r>
            <w:r>
              <w:rPr>
                <w:color w:val="231F20"/>
                <w:sz w:val="24"/>
              </w:rPr>
              <w:t>of</w:t>
            </w:r>
            <w:r>
              <w:rPr>
                <w:color w:val="231F20"/>
                <w:spacing w:val="-2"/>
                <w:sz w:val="24"/>
              </w:rPr>
              <w:t xml:space="preserve"> </w:t>
            </w:r>
            <w:r>
              <w:rPr>
                <w:color w:val="231F20"/>
                <w:sz w:val="24"/>
              </w:rPr>
              <w:t>Local</w:t>
            </w:r>
            <w:r>
              <w:rPr>
                <w:color w:val="231F20"/>
                <w:spacing w:val="-2"/>
                <w:sz w:val="24"/>
              </w:rPr>
              <w:t xml:space="preserve"> Church</w:t>
            </w:r>
          </w:p>
        </w:tc>
        <w:tc>
          <w:tcPr>
            <w:tcW w:w="2638" w:type="dxa"/>
          </w:tcPr>
          <w:p w:rsidR="00B722CB" w:rsidRDefault="00000000">
            <w:pPr>
              <w:pStyle w:val="TableParagraph"/>
              <w:rPr>
                <w:sz w:val="24"/>
              </w:rPr>
            </w:pPr>
            <w:r>
              <w:rPr>
                <w:color w:val="231F20"/>
                <w:sz w:val="24"/>
              </w:rPr>
              <w:t>Section</w:t>
            </w:r>
            <w:r>
              <w:rPr>
                <w:color w:val="231F20"/>
                <w:spacing w:val="-4"/>
                <w:sz w:val="24"/>
              </w:rPr>
              <w:t xml:space="preserve"> </w:t>
            </w:r>
            <w:r>
              <w:rPr>
                <w:color w:val="231F20"/>
                <w:sz w:val="24"/>
              </w:rPr>
              <w:t>2,3</w:t>
            </w:r>
            <w:r>
              <w:rPr>
                <w:color w:val="231F20"/>
                <w:spacing w:val="-3"/>
                <w:sz w:val="24"/>
              </w:rPr>
              <w:t xml:space="preserve"> </w:t>
            </w:r>
            <w:r>
              <w:rPr>
                <w:color w:val="231F20"/>
                <w:sz w:val="24"/>
              </w:rPr>
              <w:t>and</w:t>
            </w:r>
            <w:r>
              <w:rPr>
                <w:color w:val="231F20"/>
                <w:spacing w:val="-3"/>
                <w:sz w:val="24"/>
              </w:rPr>
              <w:t xml:space="preserve"> </w:t>
            </w:r>
            <w:r>
              <w:rPr>
                <w:color w:val="231F20"/>
                <w:spacing w:val="-10"/>
                <w:sz w:val="24"/>
              </w:rPr>
              <w:t>5</w:t>
            </w:r>
          </w:p>
        </w:tc>
      </w:tr>
      <w:tr w:rsidR="00B722CB">
        <w:trPr>
          <w:trHeight w:val="672"/>
        </w:trPr>
        <w:tc>
          <w:tcPr>
            <w:tcW w:w="2725" w:type="dxa"/>
          </w:tcPr>
          <w:p w:rsidR="00B722CB" w:rsidRDefault="00000000">
            <w:pPr>
              <w:pStyle w:val="TableParagraph"/>
              <w:rPr>
                <w:sz w:val="24"/>
              </w:rPr>
            </w:pPr>
            <w:r>
              <w:rPr>
                <w:color w:val="231F20"/>
                <w:spacing w:val="-2"/>
                <w:sz w:val="24"/>
              </w:rPr>
              <w:t>Volunteer</w:t>
            </w:r>
          </w:p>
        </w:tc>
        <w:tc>
          <w:tcPr>
            <w:tcW w:w="5091" w:type="dxa"/>
          </w:tcPr>
          <w:p w:rsidR="00B722CB" w:rsidRDefault="00000000">
            <w:pPr>
              <w:pStyle w:val="TableParagraph"/>
              <w:rPr>
                <w:sz w:val="24"/>
              </w:rPr>
            </w:pPr>
            <w:r>
              <w:rPr>
                <w:color w:val="231F20"/>
                <w:sz w:val="24"/>
              </w:rPr>
              <w:t>Anyone</w:t>
            </w:r>
            <w:r>
              <w:rPr>
                <w:color w:val="231F20"/>
                <w:spacing w:val="-4"/>
                <w:sz w:val="24"/>
              </w:rPr>
              <w:t xml:space="preserve"> </w:t>
            </w:r>
            <w:r>
              <w:rPr>
                <w:color w:val="231F20"/>
                <w:sz w:val="24"/>
              </w:rPr>
              <w:t>in</w:t>
            </w:r>
            <w:r>
              <w:rPr>
                <w:color w:val="231F20"/>
                <w:spacing w:val="-3"/>
                <w:sz w:val="24"/>
              </w:rPr>
              <w:t xml:space="preserve"> </w:t>
            </w:r>
            <w:r>
              <w:rPr>
                <w:color w:val="231F20"/>
                <w:sz w:val="24"/>
              </w:rPr>
              <w:t>the</w:t>
            </w:r>
            <w:r>
              <w:rPr>
                <w:color w:val="231F20"/>
                <w:spacing w:val="-3"/>
                <w:sz w:val="24"/>
              </w:rPr>
              <w:t xml:space="preserve"> </w:t>
            </w:r>
            <w:r>
              <w:rPr>
                <w:color w:val="231F20"/>
                <w:sz w:val="24"/>
              </w:rPr>
              <w:t>life</w:t>
            </w:r>
            <w:r>
              <w:rPr>
                <w:color w:val="231F20"/>
                <w:spacing w:val="-3"/>
                <w:sz w:val="24"/>
              </w:rPr>
              <w:t xml:space="preserve"> </w:t>
            </w:r>
            <w:r>
              <w:rPr>
                <w:color w:val="231F20"/>
                <w:sz w:val="24"/>
              </w:rPr>
              <w:t>of</w:t>
            </w:r>
            <w:r>
              <w:rPr>
                <w:color w:val="231F20"/>
                <w:spacing w:val="-4"/>
                <w:sz w:val="24"/>
              </w:rPr>
              <w:t xml:space="preserve"> </w:t>
            </w:r>
            <w:r>
              <w:rPr>
                <w:color w:val="231F20"/>
                <w:sz w:val="24"/>
              </w:rPr>
              <w:t>the</w:t>
            </w:r>
            <w:r>
              <w:rPr>
                <w:color w:val="231F20"/>
                <w:spacing w:val="-3"/>
                <w:sz w:val="24"/>
              </w:rPr>
              <w:t xml:space="preserve"> </w:t>
            </w:r>
            <w:r>
              <w:rPr>
                <w:color w:val="231F20"/>
                <w:sz w:val="24"/>
              </w:rPr>
              <w:t>church</w:t>
            </w:r>
            <w:r>
              <w:rPr>
                <w:color w:val="231F20"/>
                <w:spacing w:val="-3"/>
                <w:sz w:val="24"/>
              </w:rPr>
              <w:t xml:space="preserve"> </w:t>
            </w:r>
            <w:r>
              <w:rPr>
                <w:color w:val="231F20"/>
                <w:sz w:val="24"/>
              </w:rPr>
              <w:t>that</w:t>
            </w:r>
            <w:r>
              <w:rPr>
                <w:color w:val="231F20"/>
                <w:spacing w:val="-3"/>
                <w:sz w:val="24"/>
              </w:rPr>
              <w:t xml:space="preserve"> </w:t>
            </w:r>
            <w:r>
              <w:rPr>
                <w:color w:val="231F20"/>
                <w:spacing w:val="-2"/>
                <w:sz w:val="24"/>
              </w:rPr>
              <w:t>volunteers</w:t>
            </w:r>
          </w:p>
          <w:p w:rsidR="00B722CB" w:rsidRDefault="00000000">
            <w:pPr>
              <w:pStyle w:val="TableParagraph"/>
              <w:spacing w:before="12"/>
              <w:rPr>
                <w:sz w:val="24"/>
              </w:rPr>
            </w:pPr>
            <w:r>
              <w:rPr>
                <w:color w:val="231F20"/>
                <w:sz w:val="24"/>
              </w:rPr>
              <w:t>in</w:t>
            </w:r>
            <w:r>
              <w:rPr>
                <w:color w:val="231F20"/>
                <w:spacing w:val="-1"/>
                <w:sz w:val="24"/>
              </w:rPr>
              <w:t xml:space="preserve"> </w:t>
            </w:r>
            <w:r>
              <w:rPr>
                <w:color w:val="231F20"/>
                <w:sz w:val="24"/>
              </w:rPr>
              <w:t xml:space="preserve">a </w:t>
            </w:r>
            <w:r>
              <w:rPr>
                <w:color w:val="231F20"/>
                <w:spacing w:val="-4"/>
                <w:sz w:val="24"/>
              </w:rPr>
              <w:t>role</w:t>
            </w:r>
          </w:p>
        </w:tc>
        <w:tc>
          <w:tcPr>
            <w:tcW w:w="2638" w:type="dxa"/>
          </w:tcPr>
          <w:p w:rsidR="00B722CB" w:rsidRDefault="00000000">
            <w:pPr>
              <w:pStyle w:val="TableParagraph"/>
              <w:rPr>
                <w:sz w:val="24"/>
              </w:rPr>
            </w:pPr>
            <w:r>
              <w:rPr>
                <w:color w:val="231F20"/>
                <w:sz w:val="24"/>
              </w:rPr>
              <w:t>Section</w:t>
            </w:r>
            <w:r>
              <w:rPr>
                <w:color w:val="231F20"/>
                <w:spacing w:val="-3"/>
                <w:sz w:val="24"/>
              </w:rPr>
              <w:t xml:space="preserve"> </w:t>
            </w:r>
            <w:r>
              <w:rPr>
                <w:color w:val="231F20"/>
                <w:sz w:val="24"/>
              </w:rPr>
              <w:t>5</w:t>
            </w:r>
            <w:r>
              <w:rPr>
                <w:color w:val="231F20"/>
                <w:spacing w:val="-3"/>
                <w:sz w:val="24"/>
              </w:rPr>
              <w:t xml:space="preserve"> </w:t>
            </w:r>
            <w:r>
              <w:rPr>
                <w:color w:val="231F20"/>
                <w:sz w:val="24"/>
              </w:rPr>
              <w:t>and</w:t>
            </w:r>
            <w:r>
              <w:rPr>
                <w:color w:val="231F20"/>
                <w:spacing w:val="-2"/>
                <w:sz w:val="24"/>
              </w:rPr>
              <w:t xml:space="preserve"> </w:t>
            </w:r>
            <w:r>
              <w:rPr>
                <w:color w:val="231F20"/>
                <w:spacing w:val="-5"/>
                <w:sz w:val="24"/>
              </w:rPr>
              <w:t>11</w:t>
            </w:r>
          </w:p>
        </w:tc>
      </w:tr>
    </w:tbl>
    <w:p w:rsidR="00EB253D" w:rsidRDefault="00EB253D"/>
    <w:sectPr w:rsidR="00EB253D">
      <w:pgSz w:w="11910" w:h="16840"/>
      <w:pgMar w:top="580" w:right="420" w:bottom="680" w:left="260" w:header="0" w:footer="4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B253D" w:rsidRDefault="00EB253D">
      <w:r>
        <w:separator/>
      </w:r>
    </w:p>
  </w:endnote>
  <w:endnote w:type="continuationSeparator" w:id="0">
    <w:p w:rsidR="00EB253D" w:rsidRDefault="00EB2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22CB" w:rsidRDefault="00000000">
    <w:pPr>
      <w:pStyle w:val="BodyText"/>
      <w:spacing w:line="14" w:lineRule="auto"/>
      <w:ind w:left="0"/>
      <w:rPr>
        <w:sz w:val="20"/>
      </w:rPr>
    </w:pPr>
    <w:r>
      <w:rPr>
        <w:noProof/>
      </w:rPr>
      <w:drawing>
        <wp:anchor distT="0" distB="0" distL="0" distR="0" simplePos="0" relativeHeight="487446016" behindDoc="1" locked="0" layoutInCell="1" allowOverlap="1">
          <wp:simplePos x="0" y="0"/>
          <wp:positionH relativeFrom="page">
            <wp:posOffset>2337352</wp:posOffset>
          </wp:positionH>
          <wp:positionV relativeFrom="page">
            <wp:posOffset>10264557</wp:posOffset>
          </wp:positionV>
          <wp:extent cx="145694" cy="145694"/>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145694" cy="145694"/>
                  </a:xfrm>
                  <a:prstGeom prst="rect">
                    <a:avLst/>
                  </a:prstGeom>
                </pic:spPr>
              </pic:pic>
            </a:graphicData>
          </a:graphic>
        </wp:anchor>
      </w:drawing>
    </w:r>
    <w:r>
      <w:rPr>
        <w:noProof/>
      </w:rPr>
      <w:drawing>
        <wp:anchor distT="0" distB="0" distL="0" distR="0" simplePos="0" relativeHeight="487446528" behindDoc="1" locked="0" layoutInCell="1" allowOverlap="1">
          <wp:simplePos x="0" y="0"/>
          <wp:positionH relativeFrom="page">
            <wp:posOffset>5083302</wp:posOffset>
          </wp:positionH>
          <wp:positionV relativeFrom="page">
            <wp:posOffset>10264557</wp:posOffset>
          </wp:positionV>
          <wp:extent cx="145694" cy="145694"/>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 cstate="print"/>
                  <a:stretch>
                    <a:fillRect/>
                  </a:stretch>
                </pic:blipFill>
                <pic:spPr>
                  <a:xfrm>
                    <a:off x="0" y="0"/>
                    <a:ext cx="145694" cy="145694"/>
                  </a:xfrm>
                  <a:prstGeom prst="rect">
                    <a:avLst/>
                  </a:prstGeom>
                </pic:spPr>
              </pic:pic>
            </a:graphicData>
          </a:graphic>
        </wp:anchor>
      </w:drawing>
    </w:r>
    <w:r>
      <w:rPr>
        <w:noProof/>
      </w:rPr>
      <mc:AlternateContent>
        <mc:Choice Requires="wps">
          <w:drawing>
            <wp:anchor distT="0" distB="0" distL="0" distR="0" simplePos="0" relativeHeight="487447040" behindDoc="1" locked="0" layoutInCell="1" allowOverlap="1">
              <wp:simplePos x="0" y="0"/>
              <wp:positionH relativeFrom="page">
                <wp:posOffset>2591888</wp:posOffset>
              </wp:positionH>
              <wp:positionV relativeFrom="page">
                <wp:posOffset>10238290</wp:posOffset>
              </wp:positionV>
              <wp:extent cx="2376805" cy="19621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6805" cy="196215"/>
                      </a:xfrm>
                      <a:prstGeom prst="rect">
                        <a:avLst/>
                      </a:prstGeom>
                    </wps:spPr>
                    <wps:txbx>
                      <w:txbxContent>
                        <w:p w:rsidR="00B722CB" w:rsidRDefault="00000000">
                          <w:pPr>
                            <w:spacing w:before="12"/>
                            <w:ind w:left="20"/>
                            <w:rPr>
                              <w:b/>
                              <w:sz w:val="24"/>
                            </w:rPr>
                          </w:pPr>
                          <w:r>
                            <w:rPr>
                              <w:b/>
                              <w:color w:val="231F20"/>
                              <w:sz w:val="24"/>
                            </w:rPr>
                            <w:t>Good</w:t>
                          </w:r>
                          <w:r>
                            <w:rPr>
                              <w:b/>
                              <w:color w:val="231F20"/>
                              <w:spacing w:val="9"/>
                              <w:sz w:val="24"/>
                            </w:rPr>
                            <w:t xml:space="preserve"> </w:t>
                          </w:r>
                          <w:r>
                            <w:rPr>
                              <w:b/>
                              <w:color w:val="231F20"/>
                              <w:sz w:val="24"/>
                            </w:rPr>
                            <w:t>Practice</w:t>
                          </w:r>
                          <w:r>
                            <w:rPr>
                              <w:b/>
                              <w:color w:val="231F20"/>
                              <w:spacing w:val="9"/>
                              <w:sz w:val="24"/>
                            </w:rPr>
                            <w:t xml:space="preserve"> </w:t>
                          </w:r>
                          <w:r>
                            <w:rPr>
                              <w:b/>
                              <w:color w:val="231F20"/>
                              <w:sz w:val="24"/>
                            </w:rPr>
                            <w:t>6</w:t>
                          </w:r>
                          <w:r>
                            <w:rPr>
                              <w:b/>
                              <w:color w:val="231F20"/>
                              <w:spacing w:val="50"/>
                              <w:w w:val="150"/>
                              <w:sz w:val="24"/>
                            </w:rPr>
                            <w:t xml:space="preserve"> </w:t>
                          </w:r>
                          <w:r>
                            <w:rPr>
                              <w:b/>
                              <w:color w:val="231F20"/>
                              <w:sz w:val="24"/>
                            </w:rPr>
                            <w:t>–</w:t>
                          </w:r>
                          <w:r>
                            <w:rPr>
                              <w:b/>
                              <w:color w:val="231F20"/>
                              <w:spacing w:val="9"/>
                              <w:sz w:val="24"/>
                            </w:rPr>
                            <w:t xml:space="preserve"> </w:t>
                          </w:r>
                          <w:r>
                            <w:rPr>
                              <w:b/>
                              <w:color w:val="231F20"/>
                              <w:sz w:val="24"/>
                            </w:rPr>
                            <w:t>Resource</w:t>
                          </w:r>
                          <w:r>
                            <w:rPr>
                              <w:b/>
                              <w:color w:val="231F20"/>
                              <w:spacing w:val="9"/>
                              <w:sz w:val="24"/>
                            </w:rPr>
                            <w:t xml:space="preserve"> </w:t>
                          </w:r>
                          <w:r>
                            <w:rPr>
                              <w:b/>
                              <w:color w:val="231F20"/>
                              <w:spacing w:val="-5"/>
                              <w:sz w:val="24"/>
                            </w:rPr>
                            <w:t>G1</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04.085693pt;margin-top:806.164612pt;width:187.15pt;height:15.45pt;mso-position-horizontal-relative:page;mso-position-vertical-relative:page;z-index:-15869440" type="#_x0000_t202" id="docshape7" filled="false" stroked="false">
              <v:textbox inset="0,0,0,0">
                <w:txbxContent>
                  <w:p>
                    <w:pPr>
                      <w:spacing w:before="12"/>
                      <w:ind w:left="20" w:right="0" w:firstLine="0"/>
                      <w:jc w:val="left"/>
                      <w:rPr>
                        <w:b/>
                        <w:sz w:val="24"/>
                      </w:rPr>
                    </w:pPr>
                    <w:r>
                      <w:rPr>
                        <w:b/>
                        <w:color w:val="231F20"/>
                        <w:sz w:val="24"/>
                      </w:rPr>
                      <w:t>Good</w:t>
                    </w:r>
                    <w:r>
                      <w:rPr>
                        <w:b/>
                        <w:color w:val="231F20"/>
                        <w:spacing w:val="9"/>
                        <w:sz w:val="24"/>
                      </w:rPr>
                      <w:t> </w:t>
                    </w:r>
                    <w:r>
                      <w:rPr>
                        <w:b/>
                        <w:color w:val="231F20"/>
                        <w:sz w:val="24"/>
                      </w:rPr>
                      <w:t>Practice</w:t>
                    </w:r>
                    <w:r>
                      <w:rPr>
                        <w:b/>
                        <w:color w:val="231F20"/>
                        <w:spacing w:val="9"/>
                        <w:sz w:val="24"/>
                      </w:rPr>
                      <w:t> </w:t>
                    </w:r>
                    <w:r>
                      <w:rPr>
                        <w:b/>
                        <w:color w:val="231F20"/>
                        <w:sz w:val="24"/>
                      </w:rPr>
                      <w:t>6</w:t>
                    </w:r>
                    <w:r>
                      <w:rPr>
                        <w:b/>
                        <w:color w:val="231F20"/>
                        <w:spacing w:val="50"/>
                        <w:w w:val="150"/>
                        <w:sz w:val="24"/>
                      </w:rPr>
                      <w:t> </w:t>
                    </w:r>
                    <w:r>
                      <w:rPr>
                        <w:b/>
                        <w:color w:val="231F20"/>
                        <w:sz w:val="24"/>
                      </w:rPr>
                      <w:t>–</w:t>
                    </w:r>
                    <w:r>
                      <w:rPr>
                        <w:b/>
                        <w:color w:val="231F20"/>
                        <w:spacing w:val="9"/>
                        <w:sz w:val="24"/>
                      </w:rPr>
                      <w:t> </w:t>
                    </w:r>
                    <w:r>
                      <w:rPr>
                        <w:b/>
                        <w:color w:val="231F20"/>
                        <w:sz w:val="24"/>
                      </w:rPr>
                      <w:t>Resource</w:t>
                    </w:r>
                    <w:r>
                      <w:rPr>
                        <w:b/>
                        <w:color w:val="231F20"/>
                        <w:spacing w:val="9"/>
                        <w:sz w:val="24"/>
                      </w:rPr>
                      <w:t> </w:t>
                    </w:r>
                    <w:r>
                      <w:rPr>
                        <w:b/>
                        <w:color w:val="231F20"/>
                        <w:spacing w:val="-5"/>
                        <w:sz w:val="24"/>
                      </w:rPr>
                      <w:t>G1</w:t>
                    </w:r>
                  </w:p>
                </w:txbxContent>
              </v:textbox>
              <w10:wrap type="none"/>
            </v:shape>
          </w:pict>
        </mc:Fallback>
      </mc:AlternateContent>
    </w:r>
    <w:r>
      <w:rPr>
        <w:noProof/>
      </w:rPr>
      <mc:AlternateContent>
        <mc:Choice Requires="wps">
          <w:drawing>
            <wp:anchor distT="0" distB="0" distL="0" distR="0" simplePos="0" relativeHeight="487447552" behindDoc="1" locked="0" layoutInCell="1" allowOverlap="1">
              <wp:simplePos x="0" y="0"/>
              <wp:positionH relativeFrom="page">
                <wp:posOffset>419100</wp:posOffset>
              </wp:positionH>
              <wp:positionV relativeFrom="page">
                <wp:posOffset>10249090</wp:posOffset>
              </wp:positionV>
              <wp:extent cx="173990" cy="19621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rsidR="00B722CB" w:rsidRDefault="00000000">
                          <w:pPr>
                            <w:pStyle w:val="BodyText"/>
                            <w:spacing w:before="12"/>
                            <w:ind w:left="60"/>
                          </w:pPr>
                          <w:r>
                            <w:rPr>
                              <w:color w:val="00AEEF"/>
                              <w:spacing w:val="-10"/>
                            </w:rPr>
                            <w:fldChar w:fldCharType="begin"/>
                          </w:r>
                          <w:r>
                            <w:rPr>
                              <w:color w:val="00AEEF"/>
                              <w:spacing w:val="-10"/>
                            </w:rPr>
                            <w:instrText xml:space="preserve"> PAGE </w:instrText>
                          </w:r>
                          <w:r>
                            <w:rPr>
                              <w:color w:val="00AEEF"/>
                              <w:spacing w:val="-10"/>
                            </w:rPr>
                            <w:fldChar w:fldCharType="separate"/>
                          </w:r>
                          <w:r>
                            <w:rPr>
                              <w:color w:val="00AEEF"/>
                              <w:spacing w:val="-10"/>
                            </w:rPr>
                            <w:t>2</w:t>
                          </w:r>
                          <w:r>
                            <w:rPr>
                              <w:color w:val="00AEEF"/>
                              <w:spacing w:val="-10"/>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3pt;margin-top:807.015015pt;width:13.7pt;height:15.45pt;mso-position-horizontal-relative:page;mso-position-vertical-relative:page;z-index:-15868928" type="#_x0000_t202" id="docshape8" filled="false" stroked="false">
              <v:textbox inset="0,0,0,0">
                <w:txbxContent>
                  <w:p>
                    <w:pPr>
                      <w:pStyle w:val="BodyText"/>
                      <w:spacing w:before="12"/>
                      <w:ind w:left="60"/>
                    </w:pPr>
                    <w:r>
                      <w:rPr>
                        <w:color w:val="00AEEF"/>
                        <w:spacing w:val="-10"/>
                      </w:rPr>
                      <w:fldChar w:fldCharType="begin"/>
                    </w:r>
                    <w:r>
                      <w:rPr>
                        <w:color w:val="00AEEF"/>
                        <w:spacing w:val="-10"/>
                      </w:rPr>
                      <w:instrText> PAGE </w:instrText>
                    </w:r>
                    <w:r>
                      <w:rPr>
                        <w:color w:val="00AEEF"/>
                        <w:spacing w:val="-10"/>
                      </w:rPr>
                      <w:fldChar w:fldCharType="separate"/>
                    </w:r>
                    <w:r>
                      <w:rPr>
                        <w:color w:val="00AEEF"/>
                        <w:spacing w:val="-10"/>
                      </w:rPr>
                      <w:t>2</w:t>
                    </w:r>
                    <w:r>
                      <w:rPr>
                        <w:color w:val="00AEEF"/>
                        <w:spacing w:val="-10"/>
                      </w:rPr>
                      <w:fldChar w:fldCharType="end"/>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B253D" w:rsidRDefault="00EB253D">
      <w:r>
        <w:separator/>
      </w:r>
    </w:p>
  </w:footnote>
  <w:footnote w:type="continuationSeparator" w:id="0">
    <w:p w:rsidR="00EB253D" w:rsidRDefault="00EB2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8481E"/>
    <w:multiLevelType w:val="multilevel"/>
    <w:tmpl w:val="C270EDBE"/>
    <w:lvl w:ilvl="0">
      <w:start w:val="1"/>
      <w:numFmt w:val="decimal"/>
      <w:lvlText w:val="%1."/>
      <w:lvlJc w:val="left"/>
      <w:pPr>
        <w:ind w:left="1179" w:hanging="720"/>
        <w:jc w:val="left"/>
      </w:pPr>
      <w:rPr>
        <w:rFonts w:ascii="Arial" w:eastAsia="Arial" w:hAnsi="Arial" w:cs="Arial" w:hint="default"/>
        <w:b/>
        <w:bCs/>
        <w:i w:val="0"/>
        <w:iCs w:val="0"/>
        <w:color w:val="231F20"/>
        <w:spacing w:val="-10"/>
        <w:w w:val="100"/>
        <w:sz w:val="28"/>
        <w:szCs w:val="28"/>
        <w:lang w:val="en-US" w:eastAsia="en-US" w:bidi="ar-SA"/>
      </w:rPr>
    </w:lvl>
    <w:lvl w:ilvl="1">
      <w:start w:val="1"/>
      <w:numFmt w:val="decimal"/>
      <w:lvlText w:val="%1.%2"/>
      <w:lvlJc w:val="left"/>
      <w:pPr>
        <w:ind w:left="1180" w:hanging="720"/>
        <w:jc w:val="left"/>
      </w:pPr>
      <w:rPr>
        <w:rFonts w:ascii="Arial" w:eastAsia="Arial" w:hAnsi="Arial" w:cs="Arial" w:hint="default"/>
        <w:b/>
        <w:bCs/>
        <w:i w:val="0"/>
        <w:iCs w:val="0"/>
        <w:color w:val="231F20"/>
        <w:spacing w:val="-22"/>
        <w:w w:val="100"/>
        <w:sz w:val="24"/>
        <w:szCs w:val="24"/>
        <w:lang w:val="en-US" w:eastAsia="en-US" w:bidi="ar-SA"/>
      </w:rPr>
    </w:lvl>
    <w:lvl w:ilvl="2">
      <w:numFmt w:val="bullet"/>
      <w:lvlText w:val="•"/>
      <w:lvlJc w:val="left"/>
      <w:pPr>
        <w:ind w:left="3189" w:hanging="720"/>
      </w:pPr>
      <w:rPr>
        <w:rFonts w:hint="default"/>
        <w:lang w:val="en-US" w:eastAsia="en-US" w:bidi="ar-SA"/>
      </w:rPr>
    </w:lvl>
    <w:lvl w:ilvl="3">
      <w:numFmt w:val="bullet"/>
      <w:lvlText w:val="•"/>
      <w:lvlJc w:val="left"/>
      <w:pPr>
        <w:ind w:left="4193" w:hanging="720"/>
      </w:pPr>
      <w:rPr>
        <w:rFonts w:hint="default"/>
        <w:lang w:val="en-US" w:eastAsia="en-US" w:bidi="ar-SA"/>
      </w:rPr>
    </w:lvl>
    <w:lvl w:ilvl="4">
      <w:numFmt w:val="bullet"/>
      <w:lvlText w:val="•"/>
      <w:lvlJc w:val="left"/>
      <w:pPr>
        <w:ind w:left="5198" w:hanging="720"/>
      </w:pPr>
      <w:rPr>
        <w:rFonts w:hint="default"/>
        <w:lang w:val="en-US" w:eastAsia="en-US" w:bidi="ar-SA"/>
      </w:rPr>
    </w:lvl>
    <w:lvl w:ilvl="5">
      <w:numFmt w:val="bullet"/>
      <w:lvlText w:val="•"/>
      <w:lvlJc w:val="left"/>
      <w:pPr>
        <w:ind w:left="6202" w:hanging="720"/>
      </w:pPr>
      <w:rPr>
        <w:rFonts w:hint="default"/>
        <w:lang w:val="en-US" w:eastAsia="en-US" w:bidi="ar-SA"/>
      </w:rPr>
    </w:lvl>
    <w:lvl w:ilvl="6">
      <w:numFmt w:val="bullet"/>
      <w:lvlText w:val="•"/>
      <w:lvlJc w:val="left"/>
      <w:pPr>
        <w:ind w:left="7207" w:hanging="720"/>
      </w:pPr>
      <w:rPr>
        <w:rFonts w:hint="default"/>
        <w:lang w:val="en-US" w:eastAsia="en-US" w:bidi="ar-SA"/>
      </w:rPr>
    </w:lvl>
    <w:lvl w:ilvl="7">
      <w:numFmt w:val="bullet"/>
      <w:lvlText w:val="•"/>
      <w:lvlJc w:val="left"/>
      <w:pPr>
        <w:ind w:left="8211" w:hanging="720"/>
      </w:pPr>
      <w:rPr>
        <w:rFonts w:hint="default"/>
        <w:lang w:val="en-US" w:eastAsia="en-US" w:bidi="ar-SA"/>
      </w:rPr>
    </w:lvl>
    <w:lvl w:ilvl="8">
      <w:numFmt w:val="bullet"/>
      <w:lvlText w:val="•"/>
      <w:lvlJc w:val="left"/>
      <w:pPr>
        <w:ind w:left="9216" w:hanging="720"/>
      </w:pPr>
      <w:rPr>
        <w:rFonts w:hint="default"/>
        <w:lang w:val="en-US" w:eastAsia="en-US" w:bidi="ar-SA"/>
      </w:rPr>
    </w:lvl>
  </w:abstractNum>
  <w:abstractNum w:abstractNumId="1" w15:restartNumberingAfterBreak="0">
    <w:nsid w:val="686547CE"/>
    <w:multiLevelType w:val="hybridMultilevel"/>
    <w:tmpl w:val="DAA0A636"/>
    <w:lvl w:ilvl="0" w:tplc="E90AB1F8">
      <w:numFmt w:val="bullet"/>
      <w:lvlText w:val="•"/>
      <w:lvlJc w:val="left"/>
      <w:pPr>
        <w:ind w:left="820" w:hanging="360"/>
      </w:pPr>
      <w:rPr>
        <w:rFonts w:ascii="Arial" w:eastAsia="Arial" w:hAnsi="Arial" w:cs="Arial" w:hint="default"/>
        <w:b w:val="0"/>
        <w:bCs w:val="0"/>
        <w:i w:val="0"/>
        <w:iCs w:val="0"/>
        <w:color w:val="231F20"/>
        <w:spacing w:val="0"/>
        <w:w w:val="100"/>
        <w:sz w:val="24"/>
        <w:szCs w:val="24"/>
        <w:lang w:val="en-US" w:eastAsia="en-US" w:bidi="ar-SA"/>
      </w:rPr>
    </w:lvl>
    <w:lvl w:ilvl="1" w:tplc="1E5610F4">
      <w:numFmt w:val="bullet"/>
      <w:lvlText w:val="•"/>
      <w:lvlJc w:val="left"/>
      <w:pPr>
        <w:ind w:left="1860" w:hanging="360"/>
      </w:pPr>
      <w:rPr>
        <w:rFonts w:hint="default"/>
        <w:lang w:val="en-US" w:eastAsia="en-US" w:bidi="ar-SA"/>
      </w:rPr>
    </w:lvl>
    <w:lvl w:ilvl="2" w:tplc="D824562A">
      <w:numFmt w:val="bullet"/>
      <w:lvlText w:val="•"/>
      <w:lvlJc w:val="left"/>
      <w:pPr>
        <w:ind w:left="2901" w:hanging="360"/>
      </w:pPr>
      <w:rPr>
        <w:rFonts w:hint="default"/>
        <w:lang w:val="en-US" w:eastAsia="en-US" w:bidi="ar-SA"/>
      </w:rPr>
    </w:lvl>
    <w:lvl w:ilvl="3" w:tplc="0FD853C8">
      <w:numFmt w:val="bullet"/>
      <w:lvlText w:val="•"/>
      <w:lvlJc w:val="left"/>
      <w:pPr>
        <w:ind w:left="3941" w:hanging="360"/>
      </w:pPr>
      <w:rPr>
        <w:rFonts w:hint="default"/>
        <w:lang w:val="en-US" w:eastAsia="en-US" w:bidi="ar-SA"/>
      </w:rPr>
    </w:lvl>
    <w:lvl w:ilvl="4" w:tplc="8B0CCAB2">
      <w:numFmt w:val="bullet"/>
      <w:lvlText w:val="•"/>
      <w:lvlJc w:val="left"/>
      <w:pPr>
        <w:ind w:left="4982" w:hanging="360"/>
      </w:pPr>
      <w:rPr>
        <w:rFonts w:hint="default"/>
        <w:lang w:val="en-US" w:eastAsia="en-US" w:bidi="ar-SA"/>
      </w:rPr>
    </w:lvl>
    <w:lvl w:ilvl="5" w:tplc="C746771E">
      <w:numFmt w:val="bullet"/>
      <w:lvlText w:val="•"/>
      <w:lvlJc w:val="left"/>
      <w:pPr>
        <w:ind w:left="6022" w:hanging="360"/>
      </w:pPr>
      <w:rPr>
        <w:rFonts w:hint="default"/>
        <w:lang w:val="en-US" w:eastAsia="en-US" w:bidi="ar-SA"/>
      </w:rPr>
    </w:lvl>
    <w:lvl w:ilvl="6" w:tplc="21BEEFB6">
      <w:numFmt w:val="bullet"/>
      <w:lvlText w:val="•"/>
      <w:lvlJc w:val="left"/>
      <w:pPr>
        <w:ind w:left="7063" w:hanging="360"/>
      </w:pPr>
      <w:rPr>
        <w:rFonts w:hint="default"/>
        <w:lang w:val="en-US" w:eastAsia="en-US" w:bidi="ar-SA"/>
      </w:rPr>
    </w:lvl>
    <w:lvl w:ilvl="7" w:tplc="E34A3C88">
      <w:numFmt w:val="bullet"/>
      <w:lvlText w:val="•"/>
      <w:lvlJc w:val="left"/>
      <w:pPr>
        <w:ind w:left="8103" w:hanging="360"/>
      </w:pPr>
      <w:rPr>
        <w:rFonts w:hint="default"/>
        <w:lang w:val="en-US" w:eastAsia="en-US" w:bidi="ar-SA"/>
      </w:rPr>
    </w:lvl>
    <w:lvl w:ilvl="8" w:tplc="B8D2D9B8">
      <w:numFmt w:val="bullet"/>
      <w:lvlText w:val="•"/>
      <w:lvlJc w:val="left"/>
      <w:pPr>
        <w:ind w:left="9144" w:hanging="360"/>
      </w:pPr>
      <w:rPr>
        <w:rFonts w:hint="default"/>
        <w:lang w:val="en-US" w:eastAsia="en-US" w:bidi="ar-SA"/>
      </w:rPr>
    </w:lvl>
  </w:abstractNum>
  <w:num w:numId="1" w16cid:durableId="1880387905">
    <w:abstractNumId w:val="1"/>
  </w:num>
  <w:num w:numId="2" w16cid:durableId="1389500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722CB"/>
    <w:rsid w:val="00B722CB"/>
    <w:rsid w:val="00E92960"/>
    <w:rsid w:val="00EB25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178FFBA"/>
  <w15:docId w15:val="{FEAA6AF3-0F70-5442-981A-D78352F1C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79" w:hanging="719"/>
      <w:outlineLvl w:val="0"/>
    </w:pPr>
    <w:rPr>
      <w:b/>
      <w:bCs/>
      <w:sz w:val="28"/>
      <w:szCs w:val="28"/>
    </w:rPr>
  </w:style>
  <w:style w:type="paragraph" w:styleId="Heading2">
    <w:name w:val="heading 2"/>
    <w:basedOn w:val="Normal"/>
    <w:uiPriority w:val="9"/>
    <w:unhideWhenUsed/>
    <w:qFormat/>
    <w:pPr>
      <w:ind w:left="117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pPr>
    <w:rPr>
      <w:sz w:val="24"/>
      <w:szCs w:val="24"/>
    </w:rPr>
  </w:style>
  <w:style w:type="paragraph" w:styleId="ListParagraph">
    <w:name w:val="List Paragraph"/>
    <w:basedOn w:val="Normal"/>
    <w:uiPriority w:val="1"/>
    <w:qFormat/>
    <w:pPr>
      <w:ind w:left="1179" w:hanging="719"/>
    </w:pPr>
  </w:style>
  <w:style w:type="paragraph" w:customStyle="1" w:styleId="TableParagraph">
    <w:name w:val="Table Paragraph"/>
    <w:basedOn w:val="Normal"/>
    <w:uiPriority w:val="1"/>
    <w:qFormat/>
    <w:pPr>
      <w:spacing w:before="19"/>
      <w:ind w:left="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2332</Words>
  <Characters>13298</Characters>
  <Application>Microsoft Office Word</Application>
  <DocSecurity>0</DocSecurity>
  <Lines>110</Lines>
  <Paragraphs>31</Paragraphs>
  <ScaleCrop>false</ScaleCrop>
  <Company/>
  <LinksUpToDate>false</LinksUpToDate>
  <CharactersWithSpaces>15599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2024-01-19T14:08:00Z</dcterms:created>
  <dcterms:modified xsi:type="dcterms:W3CDTF">2024-01-26T16:50:00Z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2023-11-08T00:00:00Z</vt:filetime>
  </property>
  <property fmtid="{D5CDD505-2E9C-101B-9397-08002B2CF9AE}" pid="3" name="Creator">
    <vt:lpwstr>Adobe InDesign 19.0 (Windows)</vt:lpwstr>
  </property>
  <property fmtid="{D5CDD505-2E9C-101B-9397-08002B2CF9AE}" pid="4" name="LastSaved">
    <vt:filetime>2024-01-19T00:00:00Z</vt:filetime>
  </property>
  <property fmtid="{D5CDD505-2E9C-101B-9397-08002B2CF9AE}" pid="5" name="Producer">
    <vt:lpwstr>Adobe PDF Library 17.0</vt:lpwstr>
  </property>
</Properties>
</file>