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493E6" w14:textId="28C9E0CB" w:rsidR="00FF09C8" w:rsidRDefault="00381BAA" w:rsidP="00FF09C8">
      <w:pPr>
        <w:pStyle w:val="Heading1"/>
        <w:spacing w:line="288" w:lineRule="auto"/>
        <w:rPr>
          <w:rFonts w:ascii="Arial" w:hAnsi="Arial" w:cs="Arial"/>
          <w:b/>
          <w:bCs/>
          <w:sz w:val="36"/>
          <w:szCs w:val="36"/>
        </w:rPr>
      </w:pPr>
      <w:r>
        <w:rPr>
          <w:rFonts w:ascii="Arial" w:hAnsi="Arial" w:cs="Arial"/>
          <w:b/>
          <w:bCs/>
          <w:noProof/>
          <w:sz w:val="36"/>
          <w:szCs w:val="36"/>
        </w:rPr>
        <w:drawing>
          <wp:anchor distT="0" distB="0" distL="114300" distR="114300" simplePos="0" relativeHeight="251658240" behindDoc="1" locked="1" layoutInCell="1" allowOverlap="1" wp14:anchorId="40FB50B9" wp14:editId="57CB9921">
            <wp:simplePos x="0" y="0"/>
            <wp:positionH relativeFrom="column">
              <wp:posOffset>-57150</wp:posOffset>
            </wp:positionH>
            <wp:positionV relativeFrom="page">
              <wp:posOffset>466725</wp:posOffset>
            </wp:positionV>
            <wp:extent cx="1731010" cy="848995"/>
            <wp:effectExtent l="0" t="0" r="2540" b="8255"/>
            <wp:wrapNone/>
            <wp:docPr id="2024002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1010" cy="848995"/>
                    </a:xfrm>
                    <a:prstGeom prst="rect">
                      <a:avLst/>
                    </a:prstGeom>
                    <a:noFill/>
                  </pic:spPr>
                </pic:pic>
              </a:graphicData>
            </a:graphic>
            <wp14:sizeRelH relativeFrom="margin">
              <wp14:pctWidth>0</wp14:pctWidth>
            </wp14:sizeRelH>
            <wp14:sizeRelV relativeFrom="margin">
              <wp14:pctHeight>0</wp14:pctHeight>
            </wp14:sizeRelV>
          </wp:anchor>
        </w:drawing>
      </w:r>
    </w:p>
    <w:p w14:paraId="7D7B1551" w14:textId="77777777" w:rsidR="00381BAA" w:rsidRPr="00381BAA" w:rsidRDefault="00381BAA" w:rsidP="00FF09C8">
      <w:pPr>
        <w:pStyle w:val="Heading1"/>
        <w:spacing w:line="288" w:lineRule="auto"/>
        <w:rPr>
          <w:rFonts w:ascii="Arial" w:hAnsi="Arial" w:cs="Arial"/>
          <w:b/>
          <w:bCs/>
          <w:sz w:val="24"/>
          <w:szCs w:val="24"/>
        </w:rPr>
      </w:pPr>
    </w:p>
    <w:p w14:paraId="56C6BC91" w14:textId="38BE7429" w:rsidR="008616CB" w:rsidRPr="007C209D" w:rsidRDefault="008616CB" w:rsidP="00FF09C8">
      <w:pPr>
        <w:pStyle w:val="Heading1"/>
        <w:spacing w:line="288" w:lineRule="auto"/>
        <w:rPr>
          <w:rFonts w:ascii="Arial" w:hAnsi="Arial" w:cs="Arial"/>
          <w:b/>
          <w:bCs/>
          <w:sz w:val="36"/>
          <w:szCs w:val="36"/>
        </w:rPr>
      </w:pPr>
      <w:r w:rsidRPr="007C209D">
        <w:rPr>
          <w:rFonts w:ascii="Arial" w:hAnsi="Arial" w:cs="Arial"/>
          <w:b/>
          <w:bCs/>
          <w:sz w:val="36"/>
          <w:szCs w:val="36"/>
        </w:rPr>
        <w:t xml:space="preserve">Nominations Committee Terms of Reference </w:t>
      </w:r>
    </w:p>
    <w:tbl>
      <w:tblPr>
        <w:tblStyle w:val="TableGrid1"/>
        <w:tblW w:w="9351" w:type="dxa"/>
        <w:tblInd w:w="0" w:type="dxa"/>
        <w:tblCellMar>
          <w:top w:w="113" w:type="dxa"/>
          <w:bottom w:w="113" w:type="dxa"/>
        </w:tblCellMar>
        <w:tblLook w:val="04A0" w:firstRow="1" w:lastRow="0" w:firstColumn="1" w:lastColumn="0" w:noHBand="0" w:noVBand="1"/>
      </w:tblPr>
      <w:tblGrid>
        <w:gridCol w:w="3539"/>
        <w:gridCol w:w="5812"/>
      </w:tblGrid>
      <w:tr w:rsidR="004E152B" w:rsidRPr="008616CB" w14:paraId="39778C9D" w14:textId="77777777" w:rsidTr="00381BAA">
        <w:tc>
          <w:tcPr>
            <w:tcW w:w="3539" w:type="dxa"/>
            <w:tcBorders>
              <w:top w:val="single" w:sz="4" w:space="0" w:color="auto"/>
              <w:left w:val="single" w:sz="4" w:space="0" w:color="auto"/>
              <w:bottom w:val="single" w:sz="4" w:space="0" w:color="auto"/>
              <w:right w:val="single" w:sz="4" w:space="0" w:color="auto"/>
            </w:tcBorders>
            <w:hideMark/>
          </w:tcPr>
          <w:p w14:paraId="049AF852" w14:textId="77777777" w:rsidR="004E152B" w:rsidRPr="008616CB" w:rsidRDefault="004E152B" w:rsidP="00FF09C8">
            <w:pPr>
              <w:spacing w:line="288" w:lineRule="auto"/>
              <w:rPr>
                <w:rFonts w:ascii="Arial" w:eastAsia="Times New Roman" w:hAnsi="Arial" w:cs="Arial"/>
                <w:b/>
                <w:bCs/>
                <w:color w:val="000000" w:themeColor="text1"/>
                <w:sz w:val="24"/>
                <w:szCs w:val="24"/>
              </w:rPr>
            </w:pPr>
            <w:r w:rsidRPr="008616CB">
              <w:rPr>
                <w:rFonts w:ascii="Arial" w:eastAsia="Times New Roman" w:hAnsi="Arial" w:cs="Arial"/>
                <w:b/>
                <w:bCs/>
                <w:color w:val="000000" w:themeColor="text1"/>
                <w:kern w:val="0"/>
                <w:sz w:val="24"/>
                <w:szCs w:val="24"/>
                <w14:ligatures w14:val="none"/>
              </w:rPr>
              <w:t>Committee</w:t>
            </w:r>
          </w:p>
        </w:tc>
        <w:tc>
          <w:tcPr>
            <w:tcW w:w="5812" w:type="dxa"/>
            <w:tcBorders>
              <w:top w:val="single" w:sz="4" w:space="0" w:color="auto"/>
              <w:left w:val="single" w:sz="4" w:space="0" w:color="auto"/>
              <w:bottom w:val="single" w:sz="4" w:space="0" w:color="auto"/>
              <w:right w:val="single" w:sz="4" w:space="0" w:color="auto"/>
            </w:tcBorders>
          </w:tcPr>
          <w:p w14:paraId="48352274" w14:textId="1DA8DC95" w:rsidR="004E152B" w:rsidRPr="008616CB" w:rsidRDefault="004E152B" w:rsidP="00FF09C8">
            <w:pPr>
              <w:spacing w:line="288" w:lineRule="auto"/>
              <w:rPr>
                <w:rFonts w:ascii="Arial" w:eastAsia="Times New Roman" w:hAnsi="Arial" w:cs="Arial"/>
                <w:kern w:val="0"/>
                <w:sz w:val="24"/>
                <w:szCs w:val="24"/>
                <w14:ligatures w14:val="none"/>
              </w:rPr>
            </w:pPr>
            <w:r w:rsidRPr="008616CB">
              <w:rPr>
                <w:rFonts w:ascii="Arial" w:eastAsia="Times New Roman" w:hAnsi="Arial" w:cs="Arial"/>
                <w:kern w:val="0"/>
                <w:sz w:val="24"/>
                <w:szCs w:val="24"/>
                <w14:ligatures w14:val="none"/>
              </w:rPr>
              <w:t>Nominations Committee</w:t>
            </w:r>
          </w:p>
        </w:tc>
      </w:tr>
      <w:tr w:rsidR="004E152B" w:rsidRPr="008616CB" w14:paraId="284D1829" w14:textId="77777777" w:rsidTr="00381BAA">
        <w:tc>
          <w:tcPr>
            <w:tcW w:w="3539" w:type="dxa"/>
            <w:tcBorders>
              <w:top w:val="single" w:sz="4" w:space="0" w:color="auto"/>
              <w:left w:val="single" w:sz="4" w:space="0" w:color="auto"/>
              <w:bottom w:val="single" w:sz="4" w:space="0" w:color="auto"/>
              <w:right w:val="single" w:sz="4" w:space="0" w:color="auto"/>
            </w:tcBorders>
            <w:hideMark/>
          </w:tcPr>
          <w:p w14:paraId="3A5A4006" w14:textId="77777777" w:rsidR="004E152B" w:rsidRPr="008616CB" w:rsidRDefault="004E152B" w:rsidP="00FF09C8">
            <w:pPr>
              <w:spacing w:line="288" w:lineRule="auto"/>
              <w:rPr>
                <w:rFonts w:ascii="Arial" w:eastAsia="Times New Roman" w:hAnsi="Arial" w:cs="Arial"/>
                <w:b/>
                <w:bCs/>
                <w:color w:val="000000" w:themeColor="text1"/>
                <w:kern w:val="0"/>
                <w:sz w:val="24"/>
                <w:szCs w:val="24"/>
                <w14:ligatures w14:val="none"/>
              </w:rPr>
            </w:pPr>
            <w:r w:rsidRPr="008616CB">
              <w:rPr>
                <w:rFonts w:ascii="Arial" w:eastAsia="Times New Roman" w:hAnsi="Arial" w:cs="Arial"/>
                <w:b/>
                <w:bCs/>
                <w:color w:val="000000" w:themeColor="text1"/>
                <w:kern w:val="0"/>
                <w:sz w:val="24"/>
                <w:szCs w:val="24"/>
                <w14:ligatures w14:val="none"/>
              </w:rPr>
              <w:t>Convenor</w:t>
            </w:r>
          </w:p>
        </w:tc>
        <w:tc>
          <w:tcPr>
            <w:tcW w:w="5812" w:type="dxa"/>
            <w:tcBorders>
              <w:top w:val="single" w:sz="4" w:space="0" w:color="auto"/>
              <w:left w:val="single" w:sz="4" w:space="0" w:color="auto"/>
              <w:bottom w:val="single" w:sz="4" w:space="0" w:color="auto"/>
              <w:right w:val="single" w:sz="4" w:space="0" w:color="auto"/>
            </w:tcBorders>
          </w:tcPr>
          <w:p w14:paraId="3356E99E" w14:textId="3A002519" w:rsidR="004E152B" w:rsidRPr="008616CB" w:rsidRDefault="004E152B" w:rsidP="00FF09C8">
            <w:pPr>
              <w:spacing w:line="288" w:lineRule="auto"/>
              <w:rPr>
                <w:rFonts w:ascii="Arial" w:eastAsia="Times New Roman" w:hAnsi="Arial" w:cs="Arial"/>
                <w:kern w:val="0"/>
                <w:sz w:val="24"/>
                <w:szCs w:val="24"/>
                <w14:ligatures w14:val="none"/>
              </w:rPr>
            </w:pPr>
            <w:r w:rsidRPr="008616CB">
              <w:rPr>
                <w:rFonts w:ascii="Arial" w:eastAsia="Times New Roman" w:hAnsi="Arial" w:cs="Arial"/>
                <w:kern w:val="0"/>
                <w:sz w:val="24"/>
                <w:szCs w:val="24"/>
                <w14:ligatures w14:val="none"/>
              </w:rPr>
              <w:t xml:space="preserve">Appointed </w:t>
            </w:r>
            <w:r w:rsidR="00596B2F" w:rsidRPr="008616CB">
              <w:rPr>
                <w:rFonts w:ascii="Arial" w:eastAsia="Times New Roman" w:hAnsi="Arial" w:cs="Arial"/>
                <w:kern w:val="0"/>
                <w:sz w:val="24"/>
                <w:szCs w:val="24"/>
                <w14:ligatures w14:val="none"/>
              </w:rPr>
              <w:t>by General Assembly</w:t>
            </w:r>
          </w:p>
        </w:tc>
      </w:tr>
      <w:tr w:rsidR="004E152B" w:rsidRPr="008616CB" w14:paraId="2A4DF545" w14:textId="77777777" w:rsidTr="00381BAA">
        <w:tc>
          <w:tcPr>
            <w:tcW w:w="3539" w:type="dxa"/>
            <w:tcBorders>
              <w:top w:val="single" w:sz="4" w:space="0" w:color="auto"/>
              <w:left w:val="single" w:sz="4" w:space="0" w:color="auto"/>
              <w:bottom w:val="single" w:sz="4" w:space="0" w:color="auto"/>
              <w:right w:val="single" w:sz="4" w:space="0" w:color="auto"/>
            </w:tcBorders>
            <w:hideMark/>
          </w:tcPr>
          <w:p w14:paraId="01E0809D" w14:textId="77777777" w:rsidR="004E152B" w:rsidRPr="008616CB" w:rsidRDefault="004E152B" w:rsidP="00FF09C8">
            <w:pPr>
              <w:spacing w:line="288" w:lineRule="auto"/>
              <w:rPr>
                <w:rFonts w:ascii="Arial" w:eastAsia="Times New Roman" w:hAnsi="Arial" w:cs="Arial"/>
                <w:b/>
                <w:bCs/>
                <w:color w:val="000000" w:themeColor="text1"/>
                <w:kern w:val="0"/>
                <w:sz w:val="24"/>
                <w:szCs w:val="24"/>
                <w14:ligatures w14:val="none"/>
              </w:rPr>
            </w:pPr>
            <w:r w:rsidRPr="008616CB">
              <w:rPr>
                <w:rFonts w:ascii="Arial" w:eastAsia="Times New Roman" w:hAnsi="Arial" w:cs="Arial"/>
                <w:b/>
                <w:bCs/>
                <w:color w:val="000000" w:themeColor="text1"/>
                <w:kern w:val="0"/>
                <w:sz w:val="24"/>
                <w:szCs w:val="24"/>
                <w14:ligatures w14:val="none"/>
              </w:rPr>
              <w:t>Ex Officio Members</w:t>
            </w:r>
          </w:p>
        </w:tc>
        <w:tc>
          <w:tcPr>
            <w:tcW w:w="5812" w:type="dxa"/>
            <w:tcBorders>
              <w:top w:val="single" w:sz="4" w:space="0" w:color="auto"/>
              <w:left w:val="single" w:sz="4" w:space="0" w:color="auto"/>
              <w:bottom w:val="single" w:sz="4" w:space="0" w:color="auto"/>
              <w:right w:val="single" w:sz="4" w:space="0" w:color="auto"/>
            </w:tcBorders>
          </w:tcPr>
          <w:p w14:paraId="4802B105" w14:textId="51F89DF8" w:rsidR="004E152B" w:rsidRPr="008616CB" w:rsidRDefault="00186BFA" w:rsidP="00FF09C8">
            <w:pPr>
              <w:spacing w:line="288" w:lineRule="auto"/>
              <w:rPr>
                <w:rFonts w:ascii="Arial" w:eastAsia="Times New Roman" w:hAnsi="Arial" w:cs="Arial"/>
                <w:kern w:val="0"/>
                <w:sz w:val="24"/>
                <w:szCs w:val="24"/>
                <w14:ligatures w14:val="none"/>
              </w:rPr>
            </w:pPr>
            <w:r w:rsidRPr="008616CB">
              <w:rPr>
                <w:rFonts w:ascii="Arial" w:eastAsia="Times New Roman" w:hAnsi="Arial" w:cs="Arial"/>
                <w:kern w:val="0"/>
                <w:sz w:val="24"/>
                <w:szCs w:val="24"/>
                <w14:ligatures w14:val="none"/>
              </w:rPr>
              <w:t xml:space="preserve">One member of the General Secretariat </w:t>
            </w:r>
            <w:r w:rsidR="008616CB">
              <w:rPr>
                <w:rFonts w:ascii="Arial" w:eastAsia="Times New Roman" w:hAnsi="Arial" w:cs="Arial"/>
                <w:kern w:val="0"/>
                <w:sz w:val="24"/>
                <w:szCs w:val="24"/>
                <w14:ligatures w14:val="none"/>
              </w:rPr>
              <w:br/>
            </w:r>
            <w:r w:rsidRPr="008616CB">
              <w:rPr>
                <w:rFonts w:ascii="Arial" w:eastAsia="Times New Roman" w:hAnsi="Arial" w:cs="Arial"/>
                <w:kern w:val="0"/>
                <w:sz w:val="24"/>
                <w:szCs w:val="24"/>
                <w14:ligatures w14:val="none"/>
              </w:rPr>
              <w:t xml:space="preserve">(who will act as </w:t>
            </w:r>
            <w:r w:rsidR="00F227A4" w:rsidRPr="008616CB">
              <w:rPr>
                <w:rFonts w:ascii="Arial" w:eastAsia="Times New Roman" w:hAnsi="Arial" w:cs="Arial"/>
                <w:kern w:val="0"/>
                <w:sz w:val="24"/>
                <w:szCs w:val="24"/>
                <w14:ligatures w14:val="none"/>
              </w:rPr>
              <w:t>deputy convenor)</w:t>
            </w:r>
          </w:p>
        </w:tc>
      </w:tr>
      <w:tr w:rsidR="004E152B" w:rsidRPr="008616CB" w14:paraId="773F42E1" w14:textId="77777777" w:rsidTr="00381BAA">
        <w:tc>
          <w:tcPr>
            <w:tcW w:w="3539" w:type="dxa"/>
            <w:tcBorders>
              <w:top w:val="single" w:sz="4" w:space="0" w:color="auto"/>
              <w:left w:val="single" w:sz="4" w:space="0" w:color="auto"/>
              <w:bottom w:val="single" w:sz="4" w:space="0" w:color="auto"/>
              <w:right w:val="single" w:sz="4" w:space="0" w:color="auto"/>
            </w:tcBorders>
            <w:hideMark/>
          </w:tcPr>
          <w:p w14:paraId="0BC7137D" w14:textId="77777777" w:rsidR="004E152B" w:rsidRPr="008616CB" w:rsidRDefault="004E152B" w:rsidP="00FF09C8">
            <w:pPr>
              <w:spacing w:line="288" w:lineRule="auto"/>
              <w:rPr>
                <w:rFonts w:ascii="Arial" w:eastAsia="Times New Roman" w:hAnsi="Arial" w:cs="Arial"/>
                <w:b/>
                <w:bCs/>
                <w:color w:val="000000" w:themeColor="text1"/>
                <w:kern w:val="0"/>
                <w:sz w:val="24"/>
                <w:szCs w:val="24"/>
                <w14:ligatures w14:val="none"/>
              </w:rPr>
            </w:pPr>
            <w:r w:rsidRPr="008616CB">
              <w:rPr>
                <w:rFonts w:ascii="Arial" w:eastAsia="Times New Roman" w:hAnsi="Arial" w:cs="Arial"/>
                <w:b/>
                <w:bCs/>
                <w:color w:val="000000" w:themeColor="text1"/>
                <w:kern w:val="0"/>
                <w:sz w:val="24"/>
                <w:szCs w:val="24"/>
                <w14:ligatures w14:val="none"/>
              </w:rPr>
              <w:t>General Assembly Appointed Members</w:t>
            </w:r>
          </w:p>
        </w:tc>
        <w:tc>
          <w:tcPr>
            <w:tcW w:w="5812" w:type="dxa"/>
            <w:tcBorders>
              <w:top w:val="single" w:sz="4" w:space="0" w:color="auto"/>
              <w:left w:val="single" w:sz="4" w:space="0" w:color="auto"/>
              <w:bottom w:val="single" w:sz="4" w:space="0" w:color="auto"/>
              <w:right w:val="single" w:sz="4" w:space="0" w:color="auto"/>
            </w:tcBorders>
          </w:tcPr>
          <w:p w14:paraId="51A9E562" w14:textId="77777777" w:rsidR="004E152B" w:rsidRPr="008616CB" w:rsidRDefault="004C5C3D" w:rsidP="00FF09C8">
            <w:pPr>
              <w:spacing w:line="288" w:lineRule="auto"/>
              <w:rPr>
                <w:rFonts w:ascii="Arial" w:eastAsia="Times New Roman" w:hAnsi="Arial" w:cs="Arial"/>
                <w:kern w:val="0"/>
                <w:sz w:val="24"/>
                <w:szCs w:val="24"/>
                <w14:ligatures w14:val="none"/>
              </w:rPr>
            </w:pPr>
            <w:r w:rsidRPr="008616CB">
              <w:rPr>
                <w:rFonts w:ascii="Arial" w:eastAsia="Times New Roman" w:hAnsi="Arial" w:cs="Arial"/>
                <w:kern w:val="0"/>
                <w:sz w:val="24"/>
                <w:szCs w:val="24"/>
                <w14:ligatures w14:val="none"/>
              </w:rPr>
              <w:t xml:space="preserve">4 further </w:t>
            </w:r>
            <w:proofErr w:type="gramStart"/>
            <w:r w:rsidRPr="008616CB">
              <w:rPr>
                <w:rFonts w:ascii="Arial" w:eastAsia="Times New Roman" w:hAnsi="Arial" w:cs="Arial"/>
                <w:kern w:val="0"/>
                <w:sz w:val="24"/>
                <w:szCs w:val="24"/>
                <w14:ligatures w14:val="none"/>
              </w:rPr>
              <w:t>members:-</w:t>
            </w:r>
            <w:proofErr w:type="gramEnd"/>
          </w:p>
          <w:p w14:paraId="0CC4F253" w14:textId="2ACD1F44" w:rsidR="004C5C3D" w:rsidRPr="008616CB" w:rsidRDefault="004C5C3D" w:rsidP="00FF09C8">
            <w:pPr>
              <w:pStyle w:val="ListParagraph"/>
              <w:numPr>
                <w:ilvl w:val="0"/>
                <w:numId w:val="5"/>
              </w:numPr>
              <w:spacing w:line="288" w:lineRule="auto"/>
              <w:rPr>
                <w:rFonts w:ascii="Arial" w:eastAsia="Times New Roman" w:hAnsi="Arial" w:cs="Arial"/>
                <w:kern w:val="0"/>
                <w:sz w:val="24"/>
                <w:szCs w:val="24"/>
                <w14:ligatures w14:val="none"/>
              </w:rPr>
            </w:pPr>
            <w:r w:rsidRPr="008616CB">
              <w:rPr>
                <w:rFonts w:ascii="Arial" w:eastAsia="Times New Roman" w:hAnsi="Arial" w:cs="Arial"/>
                <w:kern w:val="0"/>
                <w:sz w:val="24"/>
                <w:szCs w:val="24"/>
                <w14:ligatures w14:val="none"/>
              </w:rPr>
              <w:t>HR specialist member of the Resources Committee</w:t>
            </w:r>
          </w:p>
          <w:p w14:paraId="0A77DC9A" w14:textId="77777777" w:rsidR="004C5C3D" w:rsidRPr="008616CB" w:rsidRDefault="00F300DF" w:rsidP="00FF09C8">
            <w:pPr>
              <w:pStyle w:val="ListParagraph"/>
              <w:numPr>
                <w:ilvl w:val="0"/>
                <w:numId w:val="5"/>
              </w:numPr>
              <w:spacing w:line="288" w:lineRule="auto"/>
              <w:rPr>
                <w:rFonts w:ascii="Arial" w:eastAsia="Times New Roman" w:hAnsi="Arial" w:cs="Arial"/>
                <w:kern w:val="0"/>
                <w:sz w:val="24"/>
                <w:szCs w:val="24"/>
                <w14:ligatures w14:val="none"/>
              </w:rPr>
            </w:pPr>
            <w:r w:rsidRPr="008616CB">
              <w:rPr>
                <w:rFonts w:ascii="Arial" w:eastAsia="Times New Roman" w:hAnsi="Arial" w:cs="Arial"/>
                <w:kern w:val="0"/>
                <w:sz w:val="24"/>
                <w:szCs w:val="24"/>
                <w14:ligatures w14:val="none"/>
              </w:rPr>
              <w:t>One person with Equality Diversity and Inclusion specialism</w:t>
            </w:r>
          </w:p>
          <w:p w14:paraId="0E68504C" w14:textId="291FDBBA" w:rsidR="00F300DF" w:rsidRPr="008616CB" w:rsidRDefault="00F300DF" w:rsidP="00FF09C8">
            <w:pPr>
              <w:pStyle w:val="ListParagraph"/>
              <w:numPr>
                <w:ilvl w:val="0"/>
                <w:numId w:val="5"/>
              </w:numPr>
              <w:spacing w:line="288" w:lineRule="auto"/>
              <w:rPr>
                <w:rFonts w:ascii="Arial" w:eastAsia="Times New Roman" w:hAnsi="Arial" w:cs="Arial"/>
                <w:kern w:val="0"/>
                <w:sz w:val="24"/>
                <w:szCs w:val="24"/>
                <w14:ligatures w14:val="none"/>
              </w:rPr>
            </w:pPr>
            <w:r w:rsidRPr="008616CB">
              <w:rPr>
                <w:rFonts w:ascii="Arial" w:eastAsia="Times New Roman" w:hAnsi="Arial" w:cs="Arial"/>
                <w:kern w:val="0"/>
                <w:sz w:val="24"/>
                <w:szCs w:val="24"/>
                <w14:ligatures w14:val="none"/>
              </w:rPr>
              <w:t>One person from Racial Justice Advocates Network/GIM</w:t>
            </w:r>
            <w:r w:rsidR="00B80548" w:rsidRPr="008616CB">
              <w:rPr>
                <w:rFonts w:ascii="Arial" w:eastAsia="Times New Roman" w:hAnsi="Arial" w:cs="Arial"/>
                <w:kern w:val="0"/>
                <w:sz w:val="24"/>
                <w:szCs w:val="24"/>
                <w14:ligatures w14:val="none"/>
              </w:rPr>
              <w:t xml:space="preserve"> (will also serve as a nominations champion)</w:t>
            </w:r>
          </w:p>
          <w:p w14:paraId="057F146D" w14:textId="5F3AFC6F" w:rsidR="00F300DF" w:rsidRPr="008616CB" w:rsidRDefault="00B80548" w:rsidP="00FF09C8">
            <w:pPr>
              <w:pStyle w:val="ListParagraph"/>
              <w:numPr>
                <w:ilvl w:val="0"/>
                <w:numId w:val="5"/>
              </w:numPr>
              <w:spacing w:line="288" w:lineRule="auto"/>
              <w:rPr>
                <w:rFonts w:ascii="Arial" w:eastAsia="Times New Roman" w:hAnsi="Arial" w:cs="Arial"/>
                <w:kern w:val="0"/>
                <w:sz w:val="24"/>
                <w:szCs w:val="24"/>
                <w14:ligatures w14:val="none"/>
              </w:rPr>
            </w:pPr>
            <w:r w:rsidRPr="008616CB">
              <w:rPr>
                <w:rFonts w:ascii="Arial" w:eastAsia="Times New Roman" w:hAnsi="Arial" w:cs="Arial"/>
                <w:kern w:val="0"/>
                <w:sz w:val="24"/>
                <w:szCs w:val="24"/>
                <w14:ligatures w14:val="none"/>
              </w:rPr>
              <w:t>A representative from URC Youth (will also serve as a nominations champion)</w:t>
            </w:r>
          </w:p>
        </w:tc>
      </w:tr>
      <w:tr w:rsidR="005F5549" w:rsidRPr="008616CB" w14:paraId="46A02081" w14:textId="77777777" w:rsidTr="00381BAA">
        <w:tc>
          <w:tcPr>
            <w:tcW w:w="3539" w:type="dxa"/>
            <w:tcBorders>
              <w:top w:val="single" w:sz="4" w:space="0" w:color="auto"/>
              <w:left w:val="single" w:sz="4" w:space="0" w:color="auto"/>
              <w:bottom w:val="single" w:sz="4" w:space="0" w:color="auto"/>
              <w:right w:val="single" w:sz="4" w:space="0" w:color="auto"/>
            </w:tcBorders>
          </w:tcPr>
          <w:p w14:paraId="78F2D591" w14:textId="78961E7E" w:rsidR="005F5549" w:rsidRPr="008616CB" w:rsidRDefault="005F5549" w:rsidP="00FF09C8">
            <w:pPr>
              <w:spacing w:line="288" w:lineRule="auto"/>
              <w:rPr>
                <w:rFonts w:ascii="Arial" w:eastAsia="Times New Roman" w:hAnsi="Arial" w:cs="Arial"/>
                <w:b/>
                <w:bCs/>
                <w:color w:val="000000" w:themeColor="text1"/>
                <w:kern w:val="0"/>
                <w:sz w:val="24"/>
                <w:szCs w:val="24"/>
                <w14:ligatures w14:val="none"/>
              </w:rPr>
            </w:pPr>
            <w:r w:rsidRPr="008616CB">
              <w:rPr>
                <w:rFonts w:ascii="Arial" w:eastAsia="Times New Roman" w:hAnsi="Arial" w:cs="Arial"/>
                <w:b/>
                <w:bCs/>
                <w:color w:val="000000" w:themeColor="text1"/>
                <w:kern w:val="0"/>
                <w:sz w:val="24"/>
                <w:szCs w:val="24"/>
                <w14:ligatures w14:val="none"/>
              </w:rPr>
              <w:t>Meeting Support</w:t>
            </w:r>
          </w:p>
        </w:tc>
        <w:tc>
          <w:tcPr>
            <w:tcW w:w="5812" w:type="dxa"/>
            <w:tcBorders>
              <w:top w:val="single" w:sz="4" w:space="0" w:color="auto"/>
              <w:left w:val="single" w:sz="4" w:space="0" w:color="auto"/>
              <w:bottom w:val="single" w:sz="4" w:space="0" w:color="auto"/>
              <w:right w:val="single" w:sz="4" w:space="0" w:color="auto"/>
            </w:tcBorders>
          </w:tcPr>
          <w:p w14:paraId="16F8173C" w14:textId="49D11998" w:rsidR="005F5549" w:rsidRPr="008616CB" w:rsidRDefault="005F5549" w:rsidP="00FF09C8">
            <w:pPr>
              <w:spacing w:line="288" w:lineRule="auto"/>
              <w:rPr>
                <w:rFonts w:ascii="Arial" w:eastAsia="Times New Roman" w:hAnsi="Arial" w:cs="Arial"/>
                <w:kern w:val="0"/>
                <w:sz w:val="24"/>
                <w:szCs w:val="24"/>
                <w14:ligatures w14:val="none"/>
              </w:rPr>
            </w:pPr>
            <w:r w:rsidRPr="008616CB">
              <w:rPr>
                <w:rFonts w:ascii="Arial" w:eastAsia="Times New Roman" w:hAnsi="Arial" w:cs="Arial"/>
                <w:kern w:val="0"/>
                <w:sz w:val="24"/>
                <w:szCs w:val="24"/>
                <w14:ligatures w14:val="none"/>
              </w:rPr>
              <w:t xml:space="preserve">Will be provided by a member of the </w:t>
            </w:r>
            <w:r w:rsidR="008616CB">
              <w:rPr>
                <w:rFonts w:ascii="Arial" w:eastAsia="Times New Roman" w:hAnsi="Arial" w:cs="Arial"/>
                <w:kern w:val="0"/>
                <w:sz w:val="24"/>
                <w:szCs w:val="24"/>
                <w14:ligatures w14:val="none"/>
              </w:rPr>
              <w:br/>
            </w:r>
            <w:r w:rsidRPr="008616CB">
              <w:rPr>
                <w:rFonts w:ascii="Arial" w:eastAsia="Times New Roman" w:hAnsi="Arial" w:cs="Arial"/>
                <w:kern w:val="0"/>
                <w:sz w:val="24"/>
                <w:szCs w:val="24"/>
                <w14:ligatures w14:val="none"/>
              </w:rPr>
              <w:t>Church House team.</w:t>
            </w:r>
          </w:p>
        </w:tc>
      </w:tr>
      <w:tr w:rsidR="004E152B" w:rsidRPr="008616CB" w14:paraId="20DBBE39" w14:textId="77777777" w:rsidTr="00381BAA">
        <w:tc>
          <w:tcPr>
            <w:tcW w:w="3539" w:type="dxa"/>
            <w:tcBorders>
              <w:top w:val="single" w:sz="4" w:space="0" w:color="auto"/>
              <w:left w:val="single" w:sz="4" w:space="0" w:color="auto"/>
              <w:bottom w:val="single" w:sz="4" w:space="0" w:color="auto"/>
              <w:right w:val="single" w:sz="4" w:space="0" w:color="auto"/>
            </w:tcBorders>
            <w:hideMark/>
          </w:tcPr>
          <w:p w14:paraId="0253A280" w14:textId="77777777" w:rsidR="004E152B" w:rsidRPr="008616CB" w:rsidRDefault="004E152B" w:rsidP="00FF09C8">
            <w:pPr>
              <w:spacing w:line="288" w:lineRule="auto"/>
              <w:rPr>
                <w:rFonts w:ascii="Arial" w:eastAsia="Times New Roman" w:hAnsi="Arial" w:cs="Arial"/>
                <w:b/>
                <w:bCs/>
                <w:color w:val="000000" w:themeColor="text1"/>
                <w:kern w:val="0"/>
                <w:sz w:val="24"/>
                <w:szCs w:val="24"/>
                <w14:ligatures w14:val="none"/>
              </w:rPr>
            </w:pPr>
            <w:r w:rsidRPr="008616CB">
              <w:rPr>
                <w:rFonts w:ascii="Arial" w:eastAsia="Times New Roman" w:hAnsi="Arial" w:cs="Arial"/>
                <w:b/>
                <w:bCs/>
                <w:color w:val="000000" w:themeColor="text1"/>
                <w:kern w:val="0"/>
                <w:sz w:val="24"/>
                <w:szCs w:val="24"/>
                <w14:ligatures w14:val="none"/>
              </w:rPr>
              <w:t>Meeting Frequency</w:t>
            </w:r>
          </w:p>
        </w:tc>
        <w:tc>
          <w:tcPr>
            <w:tcW w:w="5812" w:type="dxa"/>
            <w:tcBorders>
              <w:top w:val="single" w:sz="4" w:space="0" w:color="auto"/>
              <w:left w:val="single" w:sz="4" w:space="0" w:color="auto"/>
              <w:bottom w:val="single" w:sz="4" w:space="0" w:color="auto"/>
              <w:right w:val="single" w:sz="4" w:space="0" w:color="auto"/>
            </w:tcBorders>
          </w:tcPr>
          <w:p w14:paraId="5D8DB814" w14:textId="155CB5EE" w:rsidR="00CC4863" w:rsidRPr="008616CB" w:rsidRDefault="00CC4863" w:rsidP="00FF09C8">
            <w:pPr>
              <w:spacing w:line="288" w:lineRule="auto"/>
              <w:rPr>
                <w:rFonts w:ascii="Arial" w:eastAsia="Times New Roman" w:hAnsi="Arial" w:cs="Arial"/>
                <w:kern w:val="0"/>
                <w:sz w:val="24"/>
                <w:szCs w:val="24"/>
                <w14:ligatures w14:val="none"/>
              </w:rPr>
            </w:pPr>
            <w:r w:rsidRPr="008616CB">
              <w:rPr>
                <w:rFonts w:ascii="Arial" w:eastAsia="Times New Roman" w:hAnsi="Arial" w:cs="Arial"/>
                <w:kern w:val="0"/>
                <w:sz w:val="24"/>
                <w:szCs w:val="24"/>
                <w14:ligatures w14:val="none"/>
              </w:rPr>
              <w:t>3 online meetings per annum (dates and times suitable for the membership of committee).</w:t>
            </w:r>
          </w:p>
        </w:tc>
      </w:tr>
      <w:tr w:rsidR="004E152B" w:rsidRPr="008616CB" w14:paraId="59B1990B" w14:textId="77777777" w:rsidTr="00381BAA">
        <w:tc>
          <w:tcPr>
            <w:tcW w:w="3539" w:type="dxa"/>
            <w:tcBorders>
              <w:top w:val="single" w:sz="4" w:space="0" w:color="auto"/>
              <w:left w:val="single" w:sz="4" w:space="0" w:color="auto"/>
              <w:bottom w:val="single" w:sz="4" w:space="0" w:color="auto"/>
              <w:right w:val="single" w:sz="4" w:space="0" w:color="auto"/>
            </w:tcBorders>
          </w:tcPr>
          <w:p w14:paraId="291D4ADA" w14:textId="13AE1BD2" w:rsidR="004E152B" w:rsidRPr="008616CB" w:rsidRDefault="00982F18" w:rsidP="00FF09C8">
            <w:pPr>
              <w:spacing w:line="288" w:lineRule="auto"/>
              <w:rPr>
                <w:rFonts w:ascii="Arial" w:eastAsia="Times New Roman" w:hAnsi="Arial" w:cs="Arial"/>
                <w:b/>
                <w:bCs/>
                <w:color w:val="000000" w:themeColor="text1"/>
                <w:kern w:val="0"/>
                <w:sz w:val="24"/>
                <w:szCs w:val="24"/>
                <w14:ligatures w14:val="none"/>
              </w:rPr>
            </w:pPr>
            <w:r w:rsidRPr="008616CB">
              <w:rPr>
                <w:rFonts w:ascii="Arial" w:eastAsia="Times New Roman" w:hAnsi="Arial" w:cs="Arial"/>
                <w:b/>
                <w:bCs/>
                <w:color w:val="000000" w:themeColor="text1"/>
                <w:kern w:val="0"/>
                <w:sz w:val="24"/>
                <w:szCs w:val="24"/>
                <w14:ligatures w14:val="none"/>
              </w:rPr>
              <w:t>Delegation</w:t>
            </w:r>
          </w:p>
        </w:tc>
        <w:tc>
          <w:tcPr>
            <w:tcW w:w="5812" w:type="dxa"/>
            <w:tcBorders>
              <w:top w:val="single" w:sz="4" w:space="0" w:color="auto"/>
              <w:left w:val="single" w:sz="4" w:space="0" w:color="auto"/>
              <w:bottom w:val="single" w:sz="4" w:space="0" w:color="auto"/>
              <w:right w:val="single" w:sz="4" w:space="0" w:color="auto"/>
            </w:tcBorders>
          </w:tcPr>
          <w:p w14:paraId="63CD653C" w14:textId="5402B1B3" w:rsidR="004E152B" w:rsidRPr="008616CB" w:rsidRDefault="004878A4" w:rsidP="00FF09C8">
            <w:pPr>
              <w:spacing w:line="288" w:lineRule="auto"/>
              <w:rPr>
                <w:rFonts w:ascii="Arial" w:eastAsia="Times New Roman" w:hAnsi="Arial" w:cs="Arial"/>
                <w:kern w:val="0"/>
                <w:sz w:val="24"/>
                <w:szCs w:val="24"/>
                <w14:ligatures w14:val="none"/>
              </w:rPr>
            </w:pPr>
            <w:r w:rsidRPr="008616CB">
              <w:rPr>
                <w:rFonts w:ascii="Arial" w:eastAsia="Times New Roman" w:hAnsi="Arial" w:cs="Arial"/>
                <w:kern w:val="0"/>
                <w:sz w:val="24"/>
                <w:szCs w:val="24"/>
                <w14:ligatures w14:val="none"/>
              </w:rPr>
              <w:t xml:space="preserve">The recruitment and oversight of external representation may be delegated to the relevant Assembly Committee and </w:t>
            </w:r>
            <w:r w:rsidR="00685A11" w:rsidRPr="008616CB">
              <w:rPr>
                <w:rFonts w:ascii="Arial" w:eastAsia="Times New Roman" w:hAnsi="Arial" w:cs="Arial"/>
                <w:kern w:val="0"/>
                <w:sz w:val="24"/>
                <w:szCs w:val="24"/>
                <w14:ligatures w14:val="none"/>
              </w:rPr>
              <w:t>the Committee will work to an agreed scheme of delegation for th</w:t>
            </w:r>
            <w:r w:rsidR="004F1C68" w:rsidRPr="008616CB">
              <w:rPr>
                <w:rFonts w:ascii="Arial" w:eastAsia="Times New Roman" w:hAnsi="Arial" w:cs="Arial"/>
                <w:kern w:val="0"/>
                <w:sz w:val="24"/>
                <w:szCs w:val="24"/>
                <w14:ligatures w14:val="none"/>
              </w:rPr>
              <w:t>ese roles.</w:t>
            </w:r>
          </w:p>
        </w:tc>
      </w:tr>
      <w:tr w:rsidR="004E152B" w:rsidRPr="008616CB" w14:paraId="59DC3309" w14:textId="77777777" w:rsidTr="00381BAA">
        <w:tc>
          <w:tcPr>
            <w:tcW w:w="3539" w:type="dxa"/>
            <w:tcBorders>
              <w:top w:val="single" w:sz="4" w:space="0" w:color="auto"/>
              <w:left w:val="single" w:sz="4" w:space="0" w:color="auto"/>
              <w:bottom w:val="single" w:sz="4" w:space="0" w:color="auto"/>
              <w:right w:val="single" w:sz="4" w:space="0" w:color="auto"/>
            </w:tcBorders>
            <w:hideMark/>
          </w:tcPr>
          <w:p w14:paraId="21B6AE96" w14:textId="77777777" w:rsidR="004E152B" w:rsidRPr="008616CB" w:rsidRDefault="004E152B" w:rsidP="00FF09C8">
            <w:pPr>
              <w:spacing w:line="288" w:lineRule="auto"/>
              <w:rPr>
                <w:rFonts w:ascii="Arial" w:eastAsia="Times New Roman" w:hAnsi="Arial" w:cs="Arial"/>
                <w:b/>
                <w:bCs/>
                <w:color w:val="000000" w:themeColor="text1"/>
                <w:kern w:val="0"/>
                <w:sz w:val="24"/>
                <w:szCs w:val="24"/>
                <w14:ligatures w14:val="none"/>
              </w:rPr>
            </w:pPr>
            <w:r w:rsidRPr="008616CB">
              <w:rPr>
                <w:rFonts w:ascii="Arial" w:eastAsia="Times New Roman" w:hAnsi="Arial" w:cs="Arial"/>
                <w:b/>
                <w:bCs/>
                <w:color w:val="000000" w:themeColor="text1"/>
                <w:kern w:val="0"/>
                <w:sz w:val="24"/>
                <w:szCs w:val="24"/>
                <w14:ligatures w14:val="none"/>
              </w:rPr>
              <w:t>Accountability &amp; Reporting Duties</w:t>
            </w:r>
          </w:p>
        </w:tc>
        <w:tc>
          <w:tcPr>
            <w:tcW w:w="5812" w:type="dxa"/>
            <w:tcBorders>
              <w:top w:val="single" w:sz="4" w:space="0" w:color="auto"/>
              <w:left w:val="single" w:sz="4" w:space="0" w:color="auto"/>
              <w:bottom w:val="single" w:sz="4" w:space="0" w:color="auto"/>
              <w:right w:val="single" w:sz="4" w:space="0" w:color="auto"/>
            </w:tcBorders>
          </w:tcPr>
          <w:p w14:paraId="3437C062" w14:textId="51680244" w:rsidR="004E152B" w:rsidRPr="008616CB" w:rsidRDefault="007A638A" w:rsidP="00FF09C8">
            <w:pPr>
              <w:spacing w:line="288" w:lineRule="auto"/>
              <w:rPr>
                <w:rFonts w:ascii="Arial" w:eastAsia="Times New Roman" w:hAnsi="Arial" w:cs="Arial"/>
                <w:kern w:val="0"/>
                <w:sz w:val="24"/>
                <w:szCs w:val="24"/>
                <w14:ligatures w14:val="none"/>
              </w:rPr>
            </w:pPr>
            <w:r w:rsidRPr="008616CB">
              <w:rPr>
                <w:rFonts w:ascii="Arial" w:eastAsia="Times New Roman" w:hAnsi="Arial" w:cs="Arial"/>
                <w:kern w:val="0"/>
                <w:sz w:val="24"/>
                <w:szCs w:val="24"/>
                <w14:ligatures w14:val="none"/>
              </w:rPr>
              <w:t xml:space="preserve">Nominations Committee will report annually to general Assembly and </w:t>
            </w:r>
            <w:r w:rsidR="00982F18" w:rsidRPr="008616CB">
              <w:rPr>
                <w:rFonts w:ascii="Arial" w:eastAsia="Times New Roman" w:hAnsi="Arial" w:cs="Arial"/>
                <w:kern w:val="0"/>
                <w:sz w:val="24"/>
                <w:szCs w:val="24"/>
                <w14:ligatures w14:val="none"/>
              </w:rPr>
              <w:t>will refer any urgent, midyear nominations to Business Committee.</w:t>
            </w:r>
          </w:p>
        </w:tc>
      </w:tr>
    </w:tbl>
    <w:p w14:paraId="3D259D60" w14:textId="77777777" w:rsidR="004E152B" w:rsidRPr="008616CB" w:rsidRDefault="004E152B" w:rsidP="00FF09C8">
      <w:pPr>
        <w:spacing w:after="0" w:line="288" w:lineRule="auto"/>
        <w:rPr>
          <w:rFonts w:ascii="Arial" w:eastAsia="Times New Roman" w:hAnsi="Arial" w:cs="Arial"/>
          <w:color w:val="2F5496"/>
          <w:sz w:val="28"/>
          <w:szCs w:val="28"/>
        </w:rPr>
      </w:pPr>
    </w:p>
    <w:p w14:paraId="67133680" w14:textId="6E850517" w:rsidR="004E152B" w:rsidRPr="00381BAA" w:rsidRDefault="004E152B" w:rsidP="00FF09C8">
      <w:pPr>
        <w:spacing w:after="0" w:line="288" w:lineRule="auto"/>
        <w:rPr>
          <w:rFonts w:ascii="Arial" w:eastAsia="Times New Roman" w:hAnsi="Arial" w:cs="Arial"/>
          <w:b/>
          <w:bCs/>
          <w:color w:val="2F5496"/>
          <w:sz w:val="28"/>
          <w:szCs w:val="28"/>
        </w:rPr>
      </w:pPr>
      <w:r w:rsidRPr="00381BAA">
        <w:rPr>
          <w:rFonts w:ascii="Arial" w:eastAsia="Times New Roman" w:hAnsi="Arial" w:cs="Arial"/>
          <w:b/>
          <w:bCs/>
          <w:color w:val="2F5496"/>
          <w:sz w:val="28"/>
          <w:szCs w:val="28"/>
        </w:rPr>
        <w:t xml:space="preserve">Responsibilities </w:t>
      </w:r>
    </w:p>
    <w:p w14:paraId="6FA32DE6" w14:textId="07EDD7F8" w:rsidR="004A7BB3" w:rsidRPr="008616CB" w:rsidRDefault="00C34029" w:rsidP="00FF09C8">
      <w:pPr>
        <w:spacing w:after="0" w:line="288" w:lineRule="auto"/>
        <w:rPr>
          <w:rFonts w:ascii="Arial" w:eastAsia="Times New Roman" w:hAnsi="Arial" w:cs="Arial"/>
          <w:sz w:val="24"/>
          <w:szCs w:val="24"/>
        </w:rPr>
      </w:pPr>
      <w:r w:rsidRPr="008616CB">
        <w:rPr>
          <w:rFonts w:ascii="Arial" w:eastAsia="Times New Roman" w:hAnsi="Arial" w:cs="Arial"/>
          <w:sz w:val="24"/>
          <w:szCs w:val="24"/>
        </w:rPr>
        <w:t xml:space="preserve">Nominations Committee </w:t>
      </w:r>
      <w:r w:rsidR="004F1C68" w:rsidRPr="008616CB">
        <w:rPr>
          <w:rFonts w:ascii="Arial" w:eastAsia="Times New Roman" w:hAnsi="Arial" w:cs="Arial"/>
          <w:sz w:val="24"/>
          <w:szCs w:val="24"/>
        </w:rPr>
        <w:t>will: -</w:t>
      </w:r>
    </w:p>
    <w:p w14:paraId="7D115140" w14:textId="199F34BB" w:rsidR="00646CAA" w:rsidRPr="008616CB" w:rsidRDefault="00646CAA" w:rsidP="00FF09C8">
      <w:pPr>
        <w:pStyle w:val="ListParagraph"/>
        <w:numPr>
          <w:ilvl w:val="0"/>
          <w:numId w:val="6"/>
        </w:numPr>
        <w:spacing w:after="0" w:line="288" w:lineRule="auto"/>
        <w:rPr>
          <w:rFonts w:ascii="Arial" w:eastAsia="Times New Roman" w:hAnsi="Arial" w:cs="Arial"/>
          <w:sz w:val="24"/>
          <w:szCs w:val="24"/>
        </w:rPr>
      </w:pPr>
      <w:r w:rsidRPr="008616CB">
        <w:rPr>
          <w:rFonts w:ascii="Arial" w:eastAsia="Times New Roman" w:hAnsi="Arial" w:cs="Arial"/>
          <w:sz w:val="24"/>
          <w:szCs w:val="24"/>
        </w:rPr>
        <w:t>Ensure that all nominations to serve the ongoing work of the General Assembly will be made in accordance with Safer Recruitment principles.</w:t>
      </w:r>
    </w:p>
    <w:p w14:paraId="3FE27C77" w14:textId="7C08303B" w:rsidR="008B1676" w:rsidRPr="008616CB" w:rsidRDefault="008B1676" w:rsidP="00FF09C8">
      <w:pPr>
        <w:pStyle w:val="ListParagraph"/>
        <w:numPr>
          <w:ilvl w:val="0"/>
          <w:numId w:val="6"/>
        </w:numPr>
        <w:spacing w:after="0" w:line="288" w:lineRule="auto"/>
        <w:rPr>
          <w:rFonts w:ascii="Arial" w:eastAsia="Times New Roman" w:hAnsi="Arial" w:cs="Arial"/>
          <w:sz w:val="24"/>
          <w:szCs w:val="24"/>
        </w:rPr>
      </w:pPr>
      <w:r w:rsidRPr="008616CB">
        <w:rPr>
          <w:rFonts w:ascii="Arial" w:eastAsia="Times New Roman" w:hAnsi="Arial" w:cs="Arial"/>
          <w:sz w:val="24"/>
          <w:szCs w:val="24"/>
        </w:rPr>
        <w:t xml:space="preserve">Adopt and keep up to date processes for Nominations, including proformas for application forms, guidance for interviews, and other resources necessary to facilitate the nominations process. </w:t>
      </w:r>
    </w:p>
    <w:p w14:paraId="6ECDAEB4" w14:textId="0CCF902E" w:rsidR="008B1676" w:rsidRPr="008616CB" w:rsidRDefault="008B1676" w:rsidP="00FF09C8">
      <w:pPr>
        <w:pStyle w:val="ListParagraph"/>
        <w:numPr>
          <w:ilvl w:val="0"/>
          <w:numId w:val="6"/>
        </w:numPr>
        <w:spacing w:after="0" w:line="288" w:lineRule="auto"/>
        <w:rPr>
          <w:rFonts w:ascii="Arial" w:eastAsia="Times New Roman" w:hAnsi="Arial" w:cs="Arial"/>
          <w:sz w:val="24"/>
          <w:szCs w:val="24"/>
        </w:rPr>
      </w:pPr>
      <w:r w:rsidRPr="008616CB">
        <w:rPr>
          <w:rFonts w:ascii="Arial" w:eastAsia="Times New Roman" w:hAnsi="Arial" w:cs="Arial"/>
          <w:sz w:val="24"/>
          <w:szCs w:val="24"/>
        </w:rPr>
        <w:lastRenderedPageBreak/>
        <w:t xml:space="preserve">Receive from Committees (on behalf of themselves, or subcommittees, groups, panels, </w:t>
      </w:r>
      <w:r w:rsidR="004F1C68" w:rsidRPr="008616CB">
        <w:rPr>
          <w:rFonts w:ascii="Arial" w:eastAsia="Times New Roman" w:hAnsi="Arial" w:cs="Arial"/>
          <w:sz w:val="24"/>
          <w:szCs w:val="24"/>
        </w:rPr>
        <w:t>boards,</w:t>
      </w:r>
      <w:r w:rsidRPr="008616CB">
        <w:rPr>
          <w:rFonts w:ascii="Arial" w:eastAsia="Times New Roman" w:hAnsi="Arial" w:cs="Arial"/>
          <w:sz w:val="24"/>
          <w:szCs w:val="24"/>
        </w:rPr>
        <w:t xml:space="preserve"> or representatives to outside bodies that are accountable to them), and external bodies Role Descriptions and Person Specifications, and to disseminate these widely through a variety of communications approaches and through Nominations Champions, seeking nominations and applications. </w:t>
      </w:r>
    </w:p>
    <w:p w14:paraId="63B4288C" w14:textId="3550FF24" w:rsidR="008B1676" w:rsidRPr="008616CB" w:rsidRDefault="00C51BC9" w:rsidP="00FF09C8">
      <w:pPr>
        <w:pStyle w:val="ListParagraph"/>
        <w:numPr>
          <w:ilvl w:val="0"/>
          <w:numId w:val="6"/>
        </w:numPr>
        <w:spacing w:after="0" w:line="288" w:lineRule="auto"/>
        <w:rPr>
          <w:rFonts w:ascii="Arial" w:eastAsia="Times New Roman" w:hAnsi="Arial" w:cs="Arial"/>
          <w:sz w:val="24"/>
          <w:szCs w:val="24"/>
        </w:rPr>
      </w:pPr>
      <w:r w:rsidRPr="008616CB">
        <w:rPr>
          <w:rFonts w:ascii="Arial" w:eastAsia="Times New Roman" w:hAnsi="Arial" w:cs="Arial"/>
          <w:sz w:val="24"/>
          <w:szCs w:val="24"/>
        </w:rPr>
        <w:t>R</w:t>
      </w:r>
      <w:r w:rsidR="008B1676" w:rsidRPr="008616CB">
        <w:rPr>
          <w:rFonts w:ascii="Arial" w:eastAsia="Times New Roman" w:hAnsi="Arial" w:cs="Arial"/>
          <w:sz w:val="24"/>
          <w:szCs w:val="24"/>
        </w:rPr>
        <w:t xml:space="preserve">eceive from Committees, Groups, </w:t>
      </w:r>
      <w:r w:rsidR="004F1C68" w:rsidRPr="008616CB">
        <w:rPr>
          <w:rFonts w:ascii="Arial" w:eastAsia="Times New Roman" w:hAnsi="Arial" w:cs="Arial"/>
          <w:sz w:val="24"/>
          <w:szCs w:val="24"/>
        </w:rPr>
        <w:t>Boards,</w:t>
      </w:r>
      <w:r w:rsidR="008B1676" w:rsidRPr="008616CB">
        <w:rPr>
          <w:rFonts w:ascii="Arial" w:eastAsia="Times New Roman" w:hAnsi="Arial" w:cs="Arial"/>
          <w:sz w:val="24"/>
          <w:szCs w:val="24"/>
        </w:rPr>
        <w:t xml:space="preserve"> and external bodies names of people who have applied, been interviewed, and received appropriate references. To check that appropriate process has been followed, that appointments would recognise appropriate diversity, and when approved, forward names to General Assembly or Assembly Executive to confirm appointment. Committees are responsible for interviewing for any subcommittees or boards/panels that are accountable to them, or representatives to bodies that report to them. </w:t>
      </w:r>
    </w:p>
    <w:p w14:paraId="11847820" w14:textId="7350DE04" w:rsidR="008B1676" w:rsidRPr="008616CB" w:rsidRDefault="00C51BC9" w:rsidP="00FF09C8">
      <w:pPr>
        <w:pStyle w:val="ListParagraph"/>
        <w:numPr>
          <w:ilvl w:val="0"/>
          <w:numId w:val="6"/>
        </w:numPr>
        <w:spacing w:after="0" w:line="288" w:lineRule="auto"/>
        <w:rPr>
          <w:rFonts w:ascii="Arial" w:eastAsia="Times New Roman" w:hAnsi="Arial" w:cs="Arial"/>
          <w:sz w:val="24"/>
          <w:szCs w:val="24"/>
        </w:rPr>
      </w:pPr>
      <w:r w:rsidRPr="008616CB">
        <w:rPr>
          <w:rFonts w:ascii="Arial" w:eastAsia="Times New Roman" w:hAnsi="Arial" w:cs="Arial"/>
          <w:sz w:val="24"/>
          <w:szCs w:val="24"/>
        </w:rPr>
        <w:t>M</w:t>
      </w:r>
      <w:r w:rsidR="008B1676" w:rsidRPr="008616CB">
        <w:rPr>
          <w:rFonts w:ascii="Arial" w:eastAsia="Times New Roman" w:hAnsi="Arial" w:cs="Arial"/>
          <w:sz w:val="24"/>
          <w:szCs w:val="24"/>
        </w:rPr>
        <w:t xml:space="preserve">aintain a list of those available to serve on recruitment processes for General Assembly ministerial or staff appointments and to forward to the General Assembly or the Assembly Executive the names of those appointed or nominated for appointment. </w:t>
      </w:r>
    </w:p>
    <w:p w14:paraId="2069E067" w14:textId="0493E0BB" w:rsidR="008B1676" w:rsidRPr="008616CB" w:rsidRDefault="00C51BC9" w:rsidP="00FF09C8">
      <w:pPr>
        <w:pStyle w:val="ListParagraph"/>
        <w:numPr>
          <w:ilvl w:val="0"/>
          <w:numId w:val="6"/>
        </w:numPr>
        <w:spacing w:after="0" w:line="288" w:lineRule="auto"/>
        <w:rPr>
          <w:rFonts w:ascii="Arial" w:eastAsia="Times New Roman" w:hAnsi="Arial" w:cs="Arial"/>
          <w:sz w:val="24"/>
          <w:szCs w:val="24"/>
        </w:rPr>
      </w:pPr>
      <w:r w:rsidRPr="008616CB">
        <w:rPr>
          <w:rFonts w:ascii="Arial" w:eastAsia="Times New Roman" w:hAnsi="Arial" w:cs="Arial"/>
          <w:sz w:val="24"/>
          <w:szCs w:val="24"/>
        </w:rPr>
        <w:t>S</w:t>
      </w:r>
      <w:r w:rsidR="008B1676" w:rsidRPr="008616CB">
        <w:rPr>
          <w:rFonts w:ascii="Arial" w:eastAsia="Times New Roman" w:hAnsi="Arial" w:cs="Arial"/>
          <w:sz w:val="24"/>
          <w:szCs w:val="24"/>
        </w:rPr>
        <w:t xml:space="preserve">upport, enable and where necessary meet with Nominations Advocates to effectively disseminate opportunities for service within their networks. </w:t>
      </w:r>
    </w:p>
    <w:p w14:paraId="7E002097" w14:textId="77777777" w:rsidR="004F1C68" w:rsidRPr="008616CB" w:rsidRDefault="004F1C68" w:rsidP="00FF09C8">
      <w:pPr>
        <w:spacing w:after="0" w:line="288" w:lineRule="auto"/>
        <w:rPr>
          <w:rFonts w:ascii="Arial" w:eastAsia="Times New Roman" w:hAnsi="Arial" w:cs="Arial"/>
          <w:sz w:val="24"/>
          <w:szCs w:val="24"/>
        </w:rPr>
      </w:pPr>
    </w:p>
    <w:p w14:paraId="66888D52" w14:textId="76E9AF89" w:rsidR="000E547E" w:rsidRPr="008616CB" w:rsidRDefault="000E547E" w:rsidP="00FF09C8">
      <w:pPr>
        <w:spacing w:after="0" w:line="288" w:lineRule="auto"/>
        <w:rPr>
          <w:rFonts w:ascii="Arial" w:eastAsia="Times New Roman" w:hAnsi="Arial" w:cs="Arial"/>
          <w:sz w:val="24"/>
          <w:szCs w:val="24"/>
        </w:rPr>
      </w:pPr>
      <w:r w:rsidRPr="008616CB">
        <w:rPr>
          <w:rFonts w:ascii="Arial" w:eastAsia="Times New Roman" w:hAnsi="Arial" w:cs="Arial"/>
          <w:sz w:val="24"/>
          <w:szCs w:val="24"/>
        </w:rPr>
        <w:t xml:space="preserve">External bodies requesting representation from the United Reformed Church as set out in their governing documents will be responsible for role descriptions, and (where appropriate and possible) interviewing, the Nominations Committee will collect references. </w:t>
      </w:r>
    </w:p>
    <w:p w14:paraId="04728F58" w14:textId="77777777" w:rsidR="000E547E" w:rsidRPr="008616CB" w:rsidRDefault="000E547E" w:rsidP="00FF09C8">
      <w:pPr>
        <w:spacing w:after="0" w:line="288" w:lineRule="auto"/>
        <w:rPr>
          <w:rFonts w:ascii="Arial" w:eastAsia="Times New Roman" w:hAnsi="Arial" w:cs="Arial"/>
          <w:sz w:val="24"/>
          <w:szCs w:val="24"/>
        </w:rPr>
      </w:pPr>
    </w:p>
    <w:p w14:paraId="71F07579" w14:textId="12C7AE1C" w:rsidR="00225488" w:rsidRPr="008616CB" w:rsidRDefault="000E547E" w:rsidP="00FF09C8">
      <w:pPr>
        <w:spacing w:after="0" w:line="288" w:lineRule="auto"/>
        <w:rPr>
          <w:rFonts w:ascii="Arial" w:eastAsia="Times New Roman" w:hAnsi="Arial" w:cs="Arial"/>
          <w:sz w:val="24"/>
          <w:szCs w:val="24"/>
        </w:rPr>
      </w:pPr>
      <w:r w:rsidRPr="008616CB">
        <w:rPr>
          <w:rFonts w:ascii="Arial" w:eastAsia="Times New Roman" w:hAnsi="Arial" w:cs="Arial"/>
          <w:sz w:val="24"/>
          <w:szCs w:val="24"/>
        </w:rPr>
        <w:t xml:space="preserve">The Nomination Committee </w:t>
      </w:r>
      <w:r w:rsidR="00646215" w:rsidRPr="008616CB">
        <w:rPr>
          <w:rFonts w:ascii="Arial" w:eastAsia="Times New Roman" w:hAnsi="Arial" w:cs="Arial"/>
          <w:sz w:val="24"/>
          <w:szCs w:val="24"/>
        </w:rPr>
        <w:t>will</w:t>
      </w:r>
      <w:r w:rsidR="00982F18" w:rsidRPr="008616CB">
        <w:rPr>
          <w:rFonts w:ascii="Arial" w:eastAsia="Times New Roman" w:hAnsi="Arial" w:cs="Arial"/>
          <w:sz w:val="24"/>
          <w:szCs w:val="24"/>
        </w:rPr>
        <w:t xml:space="preserve"> be supported </w:t>
      </w:r>
      <w:r w:rsidR="007C799B" w:rsidRPr="008616CB">
        <w:rPr>
          <w:rFonts w:ascii="Arial" w:eastAsia="Times New Roman" w:hAnsi="Arial" w:cs="Arial"/>
          <w:sz w:val="24"/>
          <w:szCs w:val="24"/>
        </w:rPr>
        <w:t>by Nominations Champions. It is noted that General Assembly in June 23 i</w:t>
      </w:r>
      <w:r w:rsidR="008B1676" w:rsidRPr="008616CB">
        <w:rPr>
          <w:rFonts w:ascii="Arial" w:eastAsia="Times New Roman" w:hAnsi="Arial" w:cs="Arial"/>
          <w:sz w:val="24"/>
          <w:szCs w:val="24"/>
        </w:rPr>
        <w:t>nstruct</w:t>
      </w:r>
      <w:r w:rsidR="007C799B" w:rsidRPr="008616CB">
        <w:rPr>
          <w:rFonts w:ascii="Arial" w:eastAsia="Times New Roman" w:hAnsi="Arial" w:cs="Arial"/>
          <w:sz w:val="24"/>
          <w:szCs w:val="24"/>
        </w:rPr>
        <w:t>ed</w:t>
      </w:r>
      <w:r w:rsidR="008B1676" w:rsidRPr="008616CB">
        <w:rPr>
          <w:rFonts w:ascii="Arial" w:eastAsia="Times New Roman" w:hAnsi="Arial" w:cs="Arial"/>
          <w:sz w:val="24"/>
          <w:szCs w:val="24"/>
        </w:rPr>
        <w:t xml:space="preserve"> each Synod, URC </w:t>
      </w:r>
      <w:r w:rsidR="004F1C68" w:rsidRPr="008616CB">
        <w:rPr>
          <w:rFonts w:ascii="Arial" w:eastAsia="Times New Roman" w:hAnsi="Arial" w:cs="Arial"/>
          <w:sz w:val="24"/>
          <w:szCs w:val="24"/>
        </w:rPr>
        <w:t>Youth,</w:t>
      </w:r>
      <w:r w:rsidR="008B1676" w:rsidRPr="008616CB">
        <w:rPr>
          <w:rFonts w:ascii="Arial" w:eastAsia="Times New Roman" w:hAnsi="Arial" w:cs="Arial"/>
          <w:sz w:val="24"/>
          <w:szCs w:val="24"/>
        </w:rPr>
        <w:t xml:space="preserve"> and the Racial Justice Advocates Network (working with the Secretary for Global and Intercultural Ministries) to each appoint a ‘Nominations Champion’ to be responsible for assisting with the dissemination of opportunities for service within their respective networks. The Synod Champions are envisaged as part of existing role and Synods may ask Synod Clerks to continue to be the person who promotes the opportunities for service in the wider denomination and collates the pool of available volunteers with appropriate gifts.</w:t>
      </w:r>
    </w:p>
    <w:p w14:paraId="22129A33" w14:textId="77777777" w:rsidR="00C34029" w:rsidRPr="008616CB" w:rsidRDefault="00C34029" w:rsidP="00FF09C8">
      <w:pPr>
        <w:spacing w:after="0" w:line="288" w:lineRule="auto"/>
        <w:rPr>
          <w:rFonts w:ascii="Arial" w:eastAsia="Calibri" w:hAnsi="Arial" w:cs="Arial"/>
          <w:sz w:val="24"/>
          <w:szCs w:val="24"/>
        </w:rPr>
      </w:pPr>
    </w:p>
    <w:p w14:paraId="131EAF32" w14:textId="77777777" w:rsidR="004E152B" w:rsidRPr="006071FF" w:rsidRDefault="004E152B" w:rsidP="00FF09C8">
      <w:pPr>
        <w:keepNext/>
        <w:keepLines/>
        <w:spacing w:after="0" w:line="288" w:lineRule="auto"/>
        <w:outlineLvl w:val="1"/>
        <w:rPr>
          <w:rFonts w:ascii="Arial" w:eastAsia="Calibri" w:hAnsi="Arial" w:cs="Arial"/>
          <w:b/>
          <w:bCs/>
          <w:color w:val="2F5496"/>
          <w:sz w:val="28"/>
          <w:szCs w:val="28"/>
        </w:rPr>
      </w:pPr>
      <w:r w:rsidRPr="006071FF">
        <w:rPr>
          <w:rFonts w:ascii="Arial" w:eastAsia="Calibri" w:hAnsi="Arial" w:cs="Arial"/>
          <w:b/>
          <w:bCs/>
          <w:color w:val="2F5496"/>
          <w:sz w:val="28"/>
          <w:szCs w:val="28"/>
        </w:rPr>
        <w:t>Risk Management</w:t>
      </w:r>
    </w:p>
    <w:p w14:paraId="1B33BBCD" w14:textId="77777777" w:rsidR="004E152B" w:rsidRPr="008616CB" w:rsidRDefault="004E152B" w:rsidP="00FF09C8">
      <w:pPr>
        <w:spacing w:after="0" w:line="288" w:lineRule="auto"/>
        <w:rPr>
          <w:rFonts w:ascii="Arial" w:eastAsia="Calibri" w:hAnsi="Arial" w:cs="Arial"/>
          <w:sz w:val="24"/>
          <w:szCs w:val="24"/>
        </w:rPr>
      </w:pPr>
      <w:r w:rsidRPr="008616CB">
        <w:rPr>
          <w:rFonts w:ascii="Arial" w:eastAsia="Calibri" w:hAnsi="Arial" w:cs="Arial"/>
          <w:sz w:val="24"/>
          <w:szCs w:val="24"/>
        </w:rPr>
        <w:t>The Committee will review the Risk Register as it relates to its key responsibilities, at least once per year but will add additional risks as and when they arise.</w:t>
      </w:r>
    </w:p>
    <w:p w14:paraId="2AB86883" w14:textId="77777777" w:rsidR="004E152B" w:rsidRPr="008616CB" w:rsidRDefault="004E152B" w:rsidP="00FF09C8">
      <w:pPr>
        <w:spacing w:after="0" w:line="288" w:lineRule="auto"/>
        <w:rPr>
          <w:rFonts w:ascii="Arial" w:eastAsia="Calibri" w:hAnsi="Arial" w:cs="Arial"/>
          <w:sz w:val="24"/>
          <w:szCs w:val="24"/>
        </w:rPr>
      </w:pPr>
    </w:p>
    <w:p w14:paraId="7F8E368A" w14:textId="77777777" w:rsidR="004E152B" w:rsidRPr="006071FF" w:rsidRDefault="004E152B" w:rsidP="00FF09C8">
      <w:pPr>
        <w:keepNext/>
        <w:keepLines/>
        <w:spacing w:after="0" w:line="288" w:lineRule="auto"/>
        <w:outlineLvl w:val="1"/>
        <w:rPr>
          <w:rFonts w:ascii="Arial" w:eastAsia="Times New Roman" w:hAnsi="Arial" w:cs="Arial"/>
          <w:b/>
          <w:bCs/>
          <w:color w:val="2F5496"/>
          <w:sz w:val="28"/>
          <w:szCs w:val="28"/>
        </w:rPr>
      </w:pPr>
      <w:r w:rsidRPr="006071FF">
        <w:rPr>
          <w:rFonts w:ascii="Arial" w:eastAsia="Times New Roman" w:hAnsi="Arial" w:cs="Arial"/>
          <w:b/>
          <w:bCs/>
          <w:color w:val="2F5496"/>
          <w:sz w:val="28"/>
          <w:szCs w:val="28"/>
        </w:rPr>
        <w:t>Conducting Business</w:t>
      </w:r>
    </w:p>
    <w:p w14:paraId="0DCF3AE1" w14:textId="77777777" w:rsidR="004E152B" w:rsidRPr="008616CB" w:rsidRDefault="004E152B" w:rsidP="00FF09C8">
      <w:pPr>
        <w:spacing w:line="288" w:lineRule="auto"/>
        <w:rPr>
          <w:rFonts w:ascii="Arial" w:eastAsia="Calibri" w:hAnsi="Arial" w:cs="Arial"/>
          <w:sz w:val="24"/>
          <w:szCs w:val="24"/>
        </w:rPr>
      </w:pPr>
      <w:r w:rsidRPr="008616CB">
        <w:rPr>
          <w:rFonts w:ascii="Arial" w:eastAsia="Calibri" w:hAnsi="Arial" w:cs="Arial"/>
          <w:sz w:val="24"/>
          <w:szCs w:val="24"/>
        </w:rPr>
        <w:t>Additional meetings can be scheduled, with reasonable notice, if business requires it.</w:t>
      </w:r>
    </w:p>
    <w:p w14:paraId="30B82947" w14:textId="33283861" w:rsidR="00D65DB0" w:rsidRPr="008616CB" w:rsidRDefault="004E152B" w:rsidP="00381BAA">
      <w:pPr>
        <w:spacing w:line="288" w:lineRule="auto"/>
        <w:rPr>
          <w:rFonts w:ascii="Arial" w:hAnsi="Arial" w:cs="Arial"/>
        </w:rPr>
      </w:pPr>
      <w:r w:rsidRPr="008616CB">
        <w:rPr>
          <w:rFonts w:ascii="Arial" w:eastAsia="Calibri" w:hAnsi="Arial" w:cs="Arial"/>
          <w:sz w:val="24"/>
          <w:szCs w:val="24"/>
        </w:rPr>
        <w:t xml:space="preserve">Decisions can be taken via email </w:t>
      </w:r>
      <w:r w:rsidR="00610E43" w:rsidRPr="008616CB">
        <w:rPr>
          <w:rFonts w:ascii="Arial" w:eastAsia="Calibri" w:hAnsi="Arial" w:cs="Arial"/>
          <w:sz w:val="24"/>
          <w:szCs w:val="24"/>
        </w:rPr>
        <w:t>if necessary</w:t>
      </w:r>
      <w:r w:rsidR="00646215" w:rsidRPr="008616CB">
        <w:rPr>
          <w:rFonts w:ascii="Arial" w:eastAsia="Calibri" w:hAnsi="Arial" w:cs="Arial"/>
          <w:sz w:val="24"/>
          <w:szCs w:val="24"/>
        </w:rPr>
        <w:t>.</w:t>
      </w:r>
      <w:r w:rsidRPr="008616CB">
        <w:rPr>
          <w:rFonts w:ascii="Arial" w:eastAsia="Calibri" w:hAnsi="Arial" w:cs="Arial"/>
          <w:sz w:val="24"/>
          <w:szCs w:val="24"/>
        </w:rPr>
        <w:t xml:space="preserve"> Such decisions will be recorded and noted at the next meeting with updates on progress as needed.</w:t>
      </w:r>
    </w:p>
    <w:sectPr w:rsidR="00D65DB0" w:rsidRPr="008616CB" w:rsidSect="00FF09C8">
      <w:footerReference w:type="default" r:id="rId10"/>
      <w:pgSz w:w="11906" w:h="16838"/>
      <w:pgMar w:top="794" w:right="1440" w:bottom="907" w:left="1440"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CA055" w14:textId="77777777" w:rsidR="004F1C68" w:rsidRDefault="004F1C68" w:rsidP="004F1C68">
      <w:pPr>
        <w:spacing w:after="0" w:line="240" w:lineRule="auto"/>
      </w:pPr>
      <w:r>
        <w:separator/>
      </w:r>
    </w:p>
  </w:endnote>
  <w:endnote w:type="continuationSeparator" w:id="0">
    <w:p w14:paraId="3DED66FA" w14:textId="77777777" w:rsidR="004F1C68" w:rsidRDefault="004F1C68" w:rsidP="004F1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1186794"/>
      <w:docPartObj>
        <w:docPartGallery w:val="Page Numbers (Bottom of Page)"/>
        <w:docPartUnique/>
      </w:docPartObj>
    </w:sdtPr>
    <w:sdtEndPr>
      <w:rPr>
        <w:rFonts w:ascii="Arial" w:hAnsi="Arial" w:cs="Arial"/>
        <w:noProof/>
      </w:rPr>
    </w:sdtEndPr>
    <w:sdtContent>
      <w:p w14:paraId="1090DA42" w14:textId="7055CDDB" w:rsidR="006071FF" w:rsidRPr="006071FF" w:rsidRDefault="006071FF">
        <w:pPr>
          <w:pStyle w:val="Footer"/>
          <w:jc w:val="center"/>
          <w:rPr>
            <w:rFonts w:ascii="Arial" w:hAnsi="Arial" w:cs="Arial"/>
          </w:rPr>
        </w:pPr>
        <w:r w:rsidRPr="006071FF">
          <w:rPr>
            <w:rFonts w:ascii="Arial" w:hAnsi="Arial" w:cs="Arial"/>
          </w:rPr>
          <w:fldChar w:fldCharType="begin"/>
        </w:r>
        <w:r w:rsidRPr="006071FF">
          <w:rPr>
            <w:rFonts w:ascii="Arial" w:hAnsi="Arial" w:cs="Arial"/>
          </w:rPr>
          <w:instrText xml:space="preserve"> PAGE   \* MERGEFORMAT </w:instrText>
        </w:r>
        <w:r w:rsidRPr="006071FF">
          <w:rPr>
            <w:rFonts w:ascii="Arial" w:hAnsi="Arial" w:cs="Arial"/>
          </w:rPr>
          <w:fldChar w:fldCharType="separate"/>
        </w:r>
        <w:r w:rsidRPr="006071FF">
          <w:rPr>
            <w:rFonts w:ascii="Arial" w:hAnsi="Arial" w:cs="Arial"/>
            <w:noProof/>
          </w:rPr>
          <w:t>2</w:t>
        </w:r>
        <w:r w:rsidRPr="006071FF">
          <w:rPr>
            <w:rFonts w:ascii="Arial" w:hAnsi="Arial" w:cs="Arial"/>
            <w:noProof/>
          </w:rPr>
          <w:fldChar w:fldCharType="end"/>
        </w:r>
      </w:p>
    </w:sdtContent>
  </w:sdt>
  <w:p w14:paraId="4A9BCA07" w14:textId="77777777" w:rsidR="006071FF" w:rsidRDefault="00607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56272" w14:textId="77777777" w:rsidR="004F1C68" w:rsidRDefault="004F1C68" w:rsidP="004F1C68">
      <w:pPr>
        <w:spacing w:after="0" w:line="240" w:lineRule="auto"/>
      </w:pPr>
      <w:r>
        <w:separator/>
      </w:r>
    </w:p>
  </w:footnote>
  <w:footnote w:type="continuationSeparator" w:id="0">
    <w:p w14:paraId="04172254" w14:textId="77777777" w:rsidR="004F1C68" w:rsidRDefault="004F1C68" w:rsidP="004F1C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F76BB"/>
    <w:multiLevelType w:val="hybridMultilevel"/>
    <w:tmpl w:val="5540F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46F32"/>
    <w:multiLevelType w:val="hybridMultilevel"/>
    <w:tmpl w:val="75245B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2E6123"/>
    <w:multiLevelType w:val="hybridMultilevel"/>
    <w:tmpl w:val="797290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004188"/>
    <w:multiLevelType w:val="hybridMultilevel"/>
    <w:tmpl w:val="80B2A8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B9E1D37"/>
    <w:multiLevelType w:val="hybridMultilevel"/>
    <w:tmpl w:val="01521832"/>
    <w:lvl w:ilvl="0" w:tplc="81B0E43A">
      <w:start w:val="1"/>
      <w:numFmt w:val="bullet"/>
      <w:lvlText w:val=""/>
      <w:lvlJc w:val="left"/>
      <w:pPr>
        <w:ind w:left="720" w:hanging="360"/>
      </w:pPr>
      <w:rPr>
        <w:rFonts w:ascii="Symbol" w:hAnsi="Symbol" w:hint="default"/>
      </w:rPr>
    </w:lvl>
    <w:lvl w:ilvl="1" w:tplc="02B4FA6E">
      <w:start w:val="1"/>
      <w:numFmt w:val="bullet"/>
      <w:lvlText w:val="o"/>
      <w:lvlJc w:val="left"/>
      <w:pPr>
        <w:ind w:left="1440" w:hanging="360"/>
      </w:pPr>
      <w:rPr>
        <w:rFonts w:ascii="Courier New" w:hAnsi="Courier New" w:cs="Times New Roman" w:hint="default"/>
      </w:rPr>
    </w:lvl>
    <w:lvl w:ilvl="2" w:tplc="1556D806">
      <w:start w:val="1"/>
      <w:numFmt w:val="bullet"/>
      <w:lvlText w:val=""/>
      <w:lvlJc w:val="left"/>
      <w:pPr>
        <w:ind w:left="2160" w:hanging="360"/>
      </w:pPr>
      <w:rPr>
        <w:rFonts w:ascii="Wingdings" w:hAnsi="Wingdings" w:hint="default"/>
      </w:rPr>
    </w:lvl>
    <w:lvl w:ilvl="3" w:tplc="192C34F4">
      <w:start w:val="1"/>
      <w:numFmt w:val="bullet"/>
      <w:lvlText w:val=""/>
      <w:lvlJc w:val="left"/>
      <w:pPr>
        <w:ind w:left="2880" w:hanging="360"/>
      </w:pPr>
      <w:rPr>
        <w:rFonts w:ascii="Symbol" w:hAnsi="Symbol" w:hint="default"/>
      </w:rPr>
    </w:lvl>
    <w:lvl w:ilvl="4" w:tplc="E1B22002">
      <w:start w:val="1"/>
      <w:numFmt w:val="bullet"/>
      <w:lvlText w:val="o"/>
      <w:lvlJc w:val="left"/>
      <w:pPr>
        <w:ind w:left="3600" w:hanging="360"/>
      </w:pPr>
      <w:rPr>
        <w:rFonts w:ascii="Courier New" w:hAnsi="Courier New" w:cs="Times New Roman" w:hint="default"/>
      </w:rPr>
    </w:lvl>
    <w:lvl w:ilvl="5" w:tplc="58AC3C9A">
      <w:start w:val="1"/>
      <w:numFmt w:val="bullet"/>
      <w:lvlText w:val=""/>
      <w:lvlJc w:val="left"/>
      <w:pPr>
        <w:ind w:left="4320" w:hanging="360"/>
      </w:pPr>
      <w:rPr>
        <w:rFonts w:ascii="Wingdings" w:hAnsi="Wingdings" w:hint="default"/>
      </w:rPr>
    </w:lvl>
    <w:lvl w:ilvl="6" w:tplc="4A7280B0">
      <w:start w:val="1"/>
      <w:numFmt w:val="bullet"/>
      <w:lvlText w:val=""/>
      <w:lvlJc w:val="left"/>
      <w:pPr>
        <w:ind w:left="5040" w:hanging="360"/>
      </w:pPr>
      <w:rPr>
        <w:rFonts w:ascii="Symbol" w:hAnsi="Symbol" w:hint="default"/>
      </w:rPr>
    </w:lvl>
    <w:lvl w:ilvl="7" w:tplc="88709DE2">
      <w:start w:val="1"/>
      <w:numFmt w:val="bullet"/>
      <w:lvlText w:val="o"/>
      <w:lvlJc w:val="left"/>
      <w:pPr>
        <w:ind w:left="5760" w:hanging="360"/>
      </w:pPr>
      <w:rPr>
        <w:rFonts w:ascii="Courier New" w:hAnsi="Courier New" w:cs="Times New Roman" w:hint="default"/>
      </w:rPr>
    </w:lvl>
    <w:lvl w:ilvl="8" w:tplc="869C89A2">
      <w:start w:val="1"/>
      <w:numFmt w:val="bullet"/>
      <w:lvlText w:val=""/>
      <w:lvlJc w:val="left"/>
      <w:pPr>
        <w:ind w:left="6480" w:hanging="360"/>
      </w:pPr>
      <w:rPr>
        <w:rFonts w:ascii="Wingdings" w:hAnsi="Wingdings" w:hint="default"/>
      </w:rPr>
    </w:lvl>
  </w:abstractNum>
  <w:abstractNum w:abstractNumId="5" w15:restartNumberingAfterBreak="0">
    <w:nsid w:val="5BF5BC4B"/>
    <w:multiLevelType w:val="hybridMultilevel"/>
    <w:tmpl w:val="A9443B78"/>
    <w:lvl w:ilvl="0" w:tplc="DC10CB22">
      <w:start w:val="1"/>
      <w:numFmt w:val="bullet"/>
      <w:lvlText w:val=""/>
      <w:lvlJc w:val="left"/>
      <w:pPr>
        <w:ind w:left="720" w:hanging="360"/>
      </w:pPr>
      <w:rPr>
        <w:rFonts w:ascii="Symbol" w:hAnsi="Symbol" w:hint="default"/>
      </w:rPr>
    </w:lvl>
    <w:lvl w:ilvl="1" w:tplc="64B291D0">
      <w:start w:val="1"/>
      <w:numFmt w:val="bullet"/>
      <w:lvlText w:val="o"/>
      <w:lvlJc w:val="left"/>
      <w:pPr>
        <w:ind w:left="1440" w:hanging="360"/>
      </w:pPr>
      <w:rPr>
        <w:rFonts w:ascii="Courier New" w:hAnsi="Courier New" w:cs="Times New Roman" w:hint="default"/>
      </w:rPr>
    </w:lvl>
    <w:lvl w:ilvl="2" w:tplc="51CA0D30">
      <w:start w:val="1"/>
      <w:numFmt w:val="bullet"/>
      <w:lvlText w:val=""/>
      <w:lvlJc w:val="left"/>
      <w:pPr>
        <w:ind w:left="2160" w:hanging="360"/>
      </w:pPr>
      <w:rPr>
        <w:rFonts w:ascii="Wingdings" w:hAnsi="Wingdings" w:hint="default"/>
      </w:rPr>
    </w:lvl>
    <w:lvl w:ilvl="3" w:tplc="3670B170">
      <w:start w:val="1"/>
      <w:numFmt w:val="bullet"/>
      <w:lvlText w:val=""/>
      <w:lvlJc w:val="left"/>
      <w:pPr>
        <w:ind w:left="2880" w:hanging="360"/>
      </w:pPr>
      <w:rPr>
        <w:rFonts w:ascii="Symbol" w:hAnsi="Symbol" w:hint="default"/>
      </w:rPr>
    </w:lvl>
    <w:lvl w:ilvl="4" w:tplc="A692CFC6">
      <w:start w:val="1"/>
      <w:numFmt w:val="bullet"/>
      <w:lvlText w:val="o"/>
      <w:lvlJc w:val="left"/>
      <w:pPr>
        <w:ind w:left="3600" w:hanging="360"/>
      </w:pPr>
      <w:rPr>
        <w:rFonts w:ascii="Courier New" w:hAnsi="Courier New" w:cs="Times New Roman" w:hint="default"/>
      </w:rPr>
    </w:lvl>
    <w:lvl w:ilvl="5" w:tplc="59F48190">
      <w:start w:val="1"/>
      <w:numFmt w:val="bullet"/>
      <w:lvlText w:val=""/>
      <w:lvlJc w:val="left"/>
      <w:pPr>
        <w:ind w:left="4320" w:hanging="360"/>
      </w:pPr>
      <w:rPr>
        <w:rFonts w:ascii="Wingdings" w:hAnsi="Wingdings" w:hint="default"/>
      </w:rPr>
    </w:lvl>
    <w:lvl w:ilvl="6" w:tplc="FB26AD0C">
      <w:start w:val="1"/>
      <w:numFmt w:val="bullet"/>
      <w:lvlText w:val=""/>
      <w:lvlJc w:val="left"/>
      <w:pPr>
        <w:ind w:left="5040" w:hanging="360"/>
      </w:pPr>
      <w:rPr>
        <w:rFonts w:ascii="Symbol" w:hAnsi="Symbol" w:hint="default"/>
      </w:rPr>
    </w:lvl>
    <w:lvl w:ilvl="7" w:tplc="3CB204E0">
      <w:start w:val="1"/>
      <w:numFmt w:val="bullet"/>
      <w:lvlText w:val="o"/>
      <w:lvlJc w:val="left"/>
      <w:pPr>
        <w:ind w:left="5760" w:hanging="360"/>
      </w:pPr>
      <w:rPr>
        <w:rFonts w:ascii="Courier New" w:hAnsi="Courier New" w:cs="Times New Roman" w:hint="default"/>
      </w:rPr>
    </w:lvl>
    <w:lvl w:ilvl="8" w:tplc="8370CB62">
      <w:start w:val="1"/>
      <w:numFmt w:val="bullet"/>
      <w:lvlText w:val=""/>
      <w:lvlJc w:val="left"/>
      <w:pPr>
        <w:ind w:left="6480" w:hanging="360"/>
      </w:pPr>
      <w:rPr>
        <w:rFonts w:ascii="Wingdings" w:hAnsi="Wingdings" w:hint="default"/>
      </w:rPr>
    </w:lvl>
  </w:abstractNum>
  <w:num w:numId="1" w16cid:durableId="1072778854">
    <w:abstractNumId w:val="4"/>
  </w:num>
  <w:num w:numId="2" w16cid:durableId="844445468">
    <w:abstractNumId w:val="2"/>
  </w:num>
  <w:num w:numId="3" w16cid:durableId="951403446">
    <w:abstractNumId w:val="5"/>
  </w:num>
  <w:num w:numId="4" w16cid:durableId="1026636119">
    <w:abstractNumId w:val="3"/>
  </w:num>
  <w:num w:numId="5" w16cid:durableId="1821652908">
    <w:abstractNumId w:val="0"/>
  </w:num>
  <w:num w:numId="6" w16cid:durableId="1125851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61E"/>
    <w:rsid w:val="000E547E"/>
    <w:rsid w:val="00186BFA"/>
    <w:rsid w:val="00225488"/>
    <w:rsid w:val="0032409F"/>
    <w:rsid w:val="00381BAA"/>
    <w:rsid w:val="0039461E"/>
    <w:rsid w:val="004878A4"/>
    <w:rsid w:val="004A7BB3"/>
    <w:rsid w:val="004C5C3D"/>
    <w:rsid w:val="004E152B"/>
    <w:rsid w:val="004F1C68"/>
    <w:rsid w:val="00596B2F"/>
    <w:rsid w:val="005F5549"/>
    <w:rsid w:val="006071FF"/>
    <w:rsid w:val="00610E43"/>
    <w:rsid w:val="00646215"/>
    <w:rsid w:val="00646CAA"/>
    <w:rsid w:val="00685A11"/>
    <w:rsid w:val="00793BB0"/>
    <w:rsid w:val="007A638A"/>
    <w:rsid w:val="007C209D"/>
    <w:rsid w:val="007C799B"/>
    <w:rsid w:val="008616CB"/>
    <w:rsid w:val="008B1676"/>
    <w:rsid w:val="00982F18"/>
    <w:rsid w:val="009832F1"/>
    <w:rsid w:val="00B80548"/>
    <w:rsid w:val="00C34029"/>
    <w:rsid w:val="00C51BC9"/>
    <w:rsid w:val="00C67907"/>
    <w:rsid w:val="00CC4863"/>
    <w:rsid w:val="00D65DB0"/>
    <w:rsid w:val="00F227A4"/>
    <w:rsid w:val="00F300DF"/>
    <w:rsid w:val="00FF0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982735"/>
  <w15:chartTrackingRefBased/>
  <w15:docId w15:val="{DE27FEC9-B7FF-489B-A537-D037B4B51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52B"/>
  </w:style>
  <w:style w:type="paragraph" w:styleId="Heading1">
    <w:name w:val="heading 1"/>
    <w:basedOn w:val="Normal"/>
    <w:next w:val="Normal"/>
    <w:link w:val="Heading1Char"/>
    <w:uiPriority w:val="9"/>
    <w:qFormat/>
    <w:rsid w:val="004F1C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39"/>
    <w:rsid w:val="004E152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5C3D"/>
    <w:pPr>
      <w:ind w:left="720"/>
      <w:contextualSpacing/>
    </w:pPr>
  </w:style>
  <w:style w:type="paragraph" w:styleId="Header">
    <w:name w:val="header"/>
    <w:basedOn w:val="Normal"/>
    <w:link w:val="HeaderChar"/>
    <w:uiPriority w:val="99"/>
    <w:unhideWhenUsed/>
    <w:rsid w:val="004F1C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C68"/>
  </w:style>
  <w:style w:type="paragraph" w:styleId="Footer">
    <w:name w:val="footer"/>
    <w:basedOn w:val="Normal"/>
    <w:link w:val="FooterChar"/>
    <w:uiPriority w:val="99"/>
    <w:unhideWhenUsed/>
    <w:rsid w:val="004F1C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C68"/>
  </w:style>
  <w:style w:type="character" w:customStyle="1" w:styleId="Heading1Char">
    <w:name w:val="Heading 1 Char"/>
    <w:basedOn w:val="DefaultParagraphFont"/>
    <w:link w:val="Heading1"/>
    <w:uiPriority w:val="9"/>
    <w:rsid w:val="004F1C6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6" ma:contentTypeDescription="Create a new document." ma:contentTypeScope="" ma:versionID="8f81502b62505d5d70c78f92cc6f221c">
  <xsd:schema xmlns:xsd="http://www.w3.org/2001/XMLSchema" xmlns:xs="http://www.w3.org/2001/XMLSchema" xmlns:p="http://schemas.microsoft.com/office/2006/metadata/properties" xmlns:ns2="d4c39d4d-64ec-4058-a805-31ab6c1052fe" xmlns:ns3="37b8247b-92ea-43dd-b6d5-6ded56920b0f" targetNamespace="http://schemas.microsoft.com/office/2006/metadata/properties" ma:root="true" ma:fieldsID="dc459b50515b4f30167f420696812b28" ns2:_="" ns3:_="">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A45A88-E014-4EBA-8C0A-C05DA04DE57D}">
  <ds:schemaRefs>
    <ds:schemaRef ds:uri="http://schemas.microsoft.com/sharepoint/v3/contenttype/forms"/>
  </ds:schemaRefs>
</ds:datastoreItem>
</file>

<file path=customXml/itemProps2.xml><?xml version="1.0" encoding="utf-8"?>
<ds:datastoreItem xmlns:ds="http://schemas.openxmlformats.org/officeDocument/2006/customXml" ds:itemID="{7C110658-20AD-46F1-A53C-1822D4664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618</Words>
  <Characters>3525</Characters>
  <Application>Microsoft Office Word</Application>
  <DocSecurity>0</DocSecurity>
  <Lines>29</Lines>
  <Paragraphs>8</Paragraphs>
  <ScaleCrop>false</ScaleCrop>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James</dc:creator>
  <cp:keywords/>
  <dc:description/>
  <cp:lastModifiedBy>Sara Foyle</cp:lastModifiedBy>
  <cp:revision>34</cp:revision>
  <dcterms:created xsi:type="dcterms:W3CDTF">2024-01-16T17:42:00Z</dcterms:created>
  <dcterms:modified xsi:type="dcterms:W3CDTF">2024-01-17T16:40:00Z</dcterms:modified>
</cp:coreProperties>
</file>