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32"/>
        </w:rPr>
      </w:pPr>
    </w:p>
    <w:p>
      <w:pPr>
        <w:pStyle w:val="BodyText"/>
        <w:spacing w:before="303"/>
        <w:ind w:left="0"/>
        <w:rPr>
          <w:rFonts w:ascii="Times New Roman"/>
          <w:sz w:val="32"/>
        </w:rPr>
      </w:pPr>
    </w:p>
    <w:p>
      <w:pPr>
        <w:spacing w:before="0"/>
        <w:ind w:left="120" w:right="0" w:firstLine="0"/>
        <w:jc w:val="left"/>
        <w:rPr>
          <w:sz w:val="32"/>
        </w:rPr>
      </w:pPr>
      <w:r>
        <w:rPr/>
        <mc:AlternateContent>
          <mc:Choice Requires="wps">
            <w:drawing>
              <wp:anchor distT="0" distB="0" distL="0" distR="0" allowOverlap="1" layoutInCell="1" locked="0" behindDoc="0" simplePos="0" relativeHeight="15728640">
                <wp:simplePos x="0" y="0"/>
                <wp:positionH relativeFrom="page">
                  <wp:posOffset>5093995</wp:posOffset>
                </wp:positionH>
                <wp:positionV relativeFrom="paragraph">
                  <wp:posOffset>-671028</wp:posOffset>
                </wp:positionV>
                <wp:extent cx="2124710" cy="1872614"/>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124710" cy="1872614"/>
                          <a:chExt cx="2124710" cy="1872614"/>
                        </a:xfrm>
                      </wpg:grpSpPr>
                      <wps:wsp>
                        <wps:cNvPr id="6" name="Graphic 6"/>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8"/>
                                </a:lnTo>
                                <a:lnTo>
                                  <a:pt x="249809" y="125506"/>
                                </a:lnTo>
                                <a:lnTo>
                                  <a:pt x="221316" y="160787"/>
                                </a:lnTo>
                                <a:lnTo>
                                  <a:pt x="194322" y="197286"/>
                                </a:lnTo>
                                <a:lnTo>
                                  <a:pt x="168873" y="234955"/>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8"/>
                                </a:lnTo>
                                <a:lnTo>
                                  <a:pt x="0" y="809838"/>
                                </a:lnTo>
                                <a:lnTo>
                                  <a:pt x="1093" y="858457"/>
                                </a:lnTo>
                                <a:lnTo>
                                  <a:pt x="4340" y="906516"/>
                                </a:lnTo>
                                <a:lnTo>
                                  <a:pt x="9696" y="953966"/>
                                </a:lnTo>
                                <a:lnTo>
                                  <a:pt x="17113" y="1000762"/>
                                </a:lnTo>
                                <a:lnTo>
                                  <a:pt x="26543" y="1046856"/>
                                </a:lnTo>
                                <a:lnTo>
                                  <a:pt x="37941" y="1092202"/>
                                </a:lnTo>
                                <a:lnTo>
                                  <a:pt x="51260" y="1136752"/>
                                </a:lnTo>
                                <a:lnTo>
                                  <a:pt x="66452" y="1180460"/>
                                </a:lnTo>
                                <a:lnTo>
                                  <a:pt x="83470" y="1223278"/>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8"/>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89"/>
                                </a:lnTo>
                                <a:lnTo>
                                  <a:pt x="918035" y="1862306"/>
                                </a:lnTo>
                                <a:lnTo>
                                  <a:pt x="965486" y="1867662"/>
                                </a:lnTo>
                                <a:lnTo>
                                  <a:pt x="1013544" y="1870909"/>
                                </a:lnTo>
                                <a:lnTo>
                                  <a:pt x="1062164" y="1872002"/>
                                </a:lnTo>
                                <a:lnTo>
                                  <a:pt x="1110784" y="1870909"/>
                                </a:lnTo>
                                <a:lnTo>
                                  <a:pt x="1158842" y="1867662"/>
                                </a:lnTo>
                                <a:lnTo>
                                  <a:pt x="1206293" y="1862306"/>
                                </a:lnTo>
                                <a:lnTo>
                                  <a:pt x="1253088" y="1854889"/>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8"/>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8"/>
                                </a:lnTo>
                                <a:lnTo>
                                  <a:pt x="2057876" y="1180460"/>
                                </a:lnTo>
                                <a:lnTo>
                                  <a:pt x="2073068" y="1136752"/>
                                </a:lnTo>
                                <a:lnTo>
                                  <a:pt x="2086387" y="1092202"/>
                                </a:lnTo>
                                <a:lnTo>
                                  <a:pt x="2097785" y="1046856"/>
                                </a:lnTo>
                                <a:lnTo>
                                  <a:pt x="2107215" y="1000762"/>
                                </a:lnTo>
                                <a:lnTo>
                                  <a:pt x="2114632" y="953966"/>
                                </a:lnTo>
                                <a:lnTo>
                                  <a:pt x="2119988" y="906516"/>
                                </a:lnTo>
                                <a:lnTo>
                                  <a:pt x="2123235" y="858457"/>
                                </a:lnTo>
                                <a:lnTo>
                                  <a:pt x="2124329" y="809838"/>
                                </a:lnTo>
                                <a:lnTo>
                                  <a:pt x="2123235" y="761218"/>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5"/>
                                </a:lnTo>
                                <a:lnTo>
                                  <a:pt x="1930006" y="197286"/>
                                </a:lnTo>
                                <a:lnTo>
                                  <a:pt x="1903012" y="160787"/>
                                </a:lnTo>
                                <a:lnTo>
                                  <a:pt x="1874519" y="125506"/>
                                </a:lnTo>
                                <a:lnTo>
                                  <a:pt x="1844575" y="91488"/>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79705" y="461429"/>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855" y="531698"/>
                                </a:lnTo>
                                <a:lnTo>
                                  <a:pt x="448183" y="520725"/>
                                </a:lnTo>
                                <a:lnTo>
                                  <a:pt x="451231" y="509816"/>
                                </a:lnTo>
                                <a:lnTo>
                                  <a:pt x="453961" y="499237"/>
                                </a:lnTo>
                                <a:lnTo>
                                  <a:pt x="456438" y="488899"/>
                                </a:lnTo>
                                <a:lnTo>
                                  <a:pt x="457479" y="488899"/>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598881" y="3149"/>
                                </a:lnTo>
                                <a:lnTo>
                                  <a:pt x="570928" y="1828"/>
                                </a:lnTo>
                                <a:lnTo>
                                  <a:pt x="522960" y="6629"/>
                                </a:lnTo>
                                <a:lnTo>
                                  <a:pt x="480707" y="20751"/>
                                </a:lnTo>
                                <a:lnTo>
                                  <a:pt x="445516" y="43789"/>
                                </a:lnTo>
                                <a:lnTo>
                                  <a:pt x="418668" y="75349"/>
                                </a:lnTo>
                                <a:lnTo>
                                  <a:pt x="401510" y="115011"/>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180" y="232613"/>
                                </a:lnTo>
                                <a:lnTo>
                                  <a:pt x="885977" y="254406"/>
                                </a:lnTo>
                                <a:lnTo>
                                  <a:pt x="854621" y="262255"/>
                                </a:lnTo>
                                <a:lnTo>
                                  <a:pt x="854163" y="262255"/>
                                </a:lnTo>
                                <a:lnTo>
                                  <a:pt x="822921" y="254304"/>
                                </a:lnTo>
                                <a:lnTo>
                                  <a:pt x="799541" y="232448"/>
                                </a:lnTo>
                                <a:lnTo>
                                  <a:pt x="784898" y="199732"/>
                                </a:lnTo>
                                <a:lnTo>
                                  <a:pt x="779818" y="159181"/>
                                </a:lnTo>
                                <a:lnTo>
                                  <a:pt x="784771" y="118694"/>
                                </a:lnTo>
                                <a:lnTo>
                                  <a:pt x="799261" y="85648"/>
                                </a:lnTo>
                                <a:lnTo>
                                  <a:pt x="822731" y="63360"/>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192" y="232613"/>
                                </a:lnTo>
                                <a:lnTo>
                                  <a:pt x="1212989" y="254406"/>
                                </a:lnTo>
                                <a:lnTo>
                                  <a:pt x="1181633" y="262255"/>
                                </a:lnTo>
                                <a:lnTo>
                                  <a:pt x="1181176" y="262255"/>
                                </a:lnTo>
                                <a:lnTo>
                                  <a:pt x="1149934" y="254304"/>
                                </a:lnTo>
                                <a:lnTo>
                                  <a:pt x="1126553" y="232448"/>
                                </a:lnTo>
                                <a:lnTo>
                                  <a:pt x="1111910" y="199732"/>
                                </a:lnTo>
                                <a:lnTo>
                                  <a:pt x="1106830" y="159181"/>
                                </a:lnTo>
                                <a:lnTo>
                                  <a:pt x="1111783" y="118694"/>
                                </a:lnTo>
                                <a:lnTo>
                                  <a:pt x="1126274" y="85648"/>
                                </a:lnTo>
                                <a:lnTo>
                                  <a:pt x="1149743" y="63360"/>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32356" y="81876"/>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872614"/>
                          </a:xfrm>
                          <a:prstGeom prst="rect">
                            <a:avLst/>
                          </a:prstGeom>
                        </wps:spPr>
                        <wps:txbx>
                          <w:txbxContent>
                            <w:p>
                              <w:pPr>
                                <w:spacing w:line="240" w:lineRule="auto" w:before="868"/>
                                <w:rPr>
                                  <w:sz w:val="80"/>
                                </w:rPr>
                              </w:pPr>
                            </w:p>
                            <w:p>
                              <w:pPr>
                                <w:spacing w:before="0"/>
                                <w:ind w:left="0" w:right="106" w:firstLine="0"/>
                                <w:jc w:val="center"/>
                                <w:rPr>
                                  <w:b/>
                                  <w:sz w:val="80"/>
                                </w:rPr>
                              </w:pPr>
                              <w:r>
                                <w:rPr>
                                  <w:b/>
                                  <w:color w:val="FFFFFF"/>
                                  <w:spacing w:val="-5"/>
                                  <w:sz w:val="80"/>
                                </w:rPr>
                                <w:t>P4</w:t>
                              </w:r>
                            </w:p>
                          </w:txbxContent>
                        </wps:txbx>
                        <wps:bodyPr wrap="square" lIns="0" tIns="0" rIns="0" bIns="0" rtlCol="0">
                          <a:noAutofit/>
                        </wps:bodyPr>
                      </wps:wsp>
                    </wpg:wgp>
                  </a:graphicData>
                </a:graphic>
              </wp:anchor>
            </w:drawing>
          </mc:Choice>
          <mc:Fallback>
            <w:pict>
              <v:group style="position:absolute;margin-left:401.10199pt;margin-top:-52.836853pt;width:167.3pt;height:147.450pt;mso-position-horizontal-relative:page;mso-position-vertical-relative:paragraph;z-index:15728640" id="docshapegroup3" coordorigin="8022,-1057" coordsize="3346,2949">
                <v:shape style="position:absolute;left:8022;top:-1057;width:3346;height:2949" id="docshape4" coordorigin="8022,-1057" coordsize="3346,2949" path="m10777,-1057l8613,-1057,8563,-1014,8512,-964,8463,-913,8415,-859,8371,-804,8328,-746,8288,-687,8250,-626,8215,-563,8183,-498,8153,-432,8127,-365,8103,-296,8082,-226,8064,-155,8049,-82,8037,-8,8029,66,8024,142,8022,219,8024,295,8029,371,8037,446,8049,519,8064,592,8082,663,8103,733,8127,802,8153,870,8183,936,8215,1000,8250,1063,8288,1124,8328,1183,8371,1241,8415,1296,8463,1350,8512,1401,8563,1451,8617,1498,8673,1543,8730,1585,8789,1625,8850,1663,8913,1698,8978,1730,9044,1760,9111,1787,9180,1811,9250,1832,9321,1849,9394,1864,9468,1876,9542,1884,9618,1890,9695,1891,9771,1890,9847,1884,9922,1876,9995,1864,10068,1849,10139,1832,10210,1811,10278,1787,10346,1760,10412,1730,10476,1698,10539,1663,10600,1625,10659,1585,10717,1543,10772,1498,10826,1451,10878,1401,10927,1350,10974,1296,11019,1241,11061,1183,11101,1124,11139,1063,11174,1000,11206,936,11236,870,11263,802,11287,733,11308,663,11326,592,11340,519,11352,446,11361,371,11366,295,11367,219,11366,142,11361,66,11352,-8,11340,-82,11326,-155,11308,-226,11287,-296,11263,-365,11236,-432,11206,-498,11174,-563,11139,-626,11101,-687,11061,-746,11019,-804,10974,-859,10927,-913,10878,-964,10826,-1014,10777,-1057xe" filled="true" fillcolor="#00aeef" stroked="false">
                  <v:path arrowok="t"/>
                  <v:fill type="solid"/>
                </v:shape>
                <v:shape style="position:absolute;left:8400;top:-674;width:2599;height:1106" id="docshape5" coordorigin="8401,-674" coordsize="2599,1106" path="m8631,159l8628,136,8622,115,8611,97,8604,89,8598,82,8582,71,8582,162,8576,196,8557,221,8528,236,8489,241,8473,241,8459,240,8449,237,8449,93,8457,92,8467,90,8480,89,8494,89,8530,94,8558,107,8576,130,8582,162,8582,71,8579,69,8555,59,8526,53,8493,51,8466,52,8441,53,8420,56,8401,59,8401,426,8449,426,8449,276,8460,279,8473,280,8488,280,8522,277,8525,276,8553,270,8580,257,8599,241,8601,239,8614,223,8623,205,8629,183,8631,159xm8937,426l8932,411,8925,389,8918,360,8909,324,8901,297,8889,276,8879,265,8874,259,8855,249,8855,247,8882,234,8888,228,8904,213,8919,186,8925,153,8923,132,8917,112,8908,96,8901,89,8895,82,8876,68,8876,158,8870,187,8853,209,8827,223,8792,228,8743,228,8743,93,8751,91,8761,90,8774,89,8790,89,8825,93,8852,105,8870,127,8876,158,8876,68,8876,68,8852,59,8822,53,8787,51,8762,52,8738,53,8715,56,8695,59,8695,426,8743,426,8743,265,8788,265,8817,270,8838,282,8853,305,8863,337,8871,369,8877,395,8883,414,8888,426,8937,426xm9278,426l9238,309,9225,272,9177,130,9177,272,9065,272,9101,164,9107,146,9112,129,9116,113,9120,96,9121,96,9126,113,9130,130,9135,147,9140,164,9177,272,9177,130,9166,96,9151,54,9093,54,8967,426,9016,426,9055,309,9187,309,9227,426,9278,426xm9450,-459l9270,-459,9270,-373,9345,-373,9345,-271,9336,-269,9324,-267,9309,-265,9291,-265,9230,-276,9181,-307,9150,-356,9138,-424,9151,-492,9185,-541,9236,-570,9299,-580,9336,-579,9365,-574,9390,-568,9411,-559,9417,-580,9434,-648,9412,-656,9382,-663,9344,-669,9300,-671,9224,-663,9158,-641,9103,-605,9060,-555,9033,-492,9024,-418,9028,-366,9041,-319,9063,-277,9092,-241,9129,-213,9174,-193,9227,-181,9289,-177,9336,-179,9381,-186,9420,-195,9450,-204,9450,-265,9450,-459xm9585,64l9573,59,9554,54,9528,50,9497,48,9418,62,9357,102,9317,164,9303,243,9316,324,9355,383,9413,419,9486,432,9518,430,9546,426,9568,421,9584,414,9579,391,9575,375,9559,382,9539,387,9518,390,9496,391,9436,380,9391,350,9363,303,9353,242,9364,177,9393,129,9439,99,9499,89,9521,90,9541,93,9559,98,9573,104,9578,89,9585,64xm9894,54l9618,54,9618,95,9731,95,9731,426,9780,426,9780,95,9894,95,9894,54xm9979,-429l9969,-505,9941,-573,9928,-587,9894,-626,9863,-643,9863,-425,9855,-359,9833,-307,9796,-273,9747,-261,9746,-261,9697,-273,9660,-307,9637,-359,9629,-423,9637,-487,9660,-539,9697,-574,9747,-587,9797,-574,9833,-538,9856,-487,9863,-425,9863,-643,9830,-661,9749,-674,9670,-661,9605,-626,9555,-572,9524,-502,9513,-420,9523,-341,9552,-274,9599,-221,9662,-186,9741,-174,9742,-174,9821,-185,9886,-217,9927,-261,9936,-270,9968,-341,9979,-429xm9983,54l9935,54,9935,426,9983,426,9983,54xm10328,64l10315,59,10296,54,10271,50,10240,48,10161,62,10099,102,10059,164,10045,243,10059,324,10098,383,10156,419,10229,432,10261,430,10288,426,10311,421,10327,414,10321,391,10318,375,10301,382,10282,387,10261,390,10239,391,10178,380,10133,350,10106,303,10096,242,10106,177,10136,129,10182,99,10241,89,10264,90,10284,93,10301,98,10316,104,10321,89,10328,64xm10494,-429l10484,-505,10456,-573,10443,-587,10409,-626,10378,-643,10378,-425,10370,-359,10348,-307,10311,-273,10262,-261,10261,-261,10212,-273,10175,-307,10152,-359,10144,-423,10152,-487,10175,-539,10212,-574,10262,-587,10312,-574,10348,-538,10371,-487,10378,-425,10378,-643,10345,-661,10264,-674,10185,-661,10120,-626,10070,-572,10039,-502,10028,-420,10038,-341,10067,-274,10114,-221,10177,-186,10256,-174,10257,-174,10336,-185,10401,-217,10442,-261,10451,-270,10483,-341,10494,-429xm10597,386l10436,386,10436,252,10580,252,10580,212,10436,212,10436,94,10589,94,10589,54,10387,54,10387,426,10597,426,10597,386xm10994,-435l10988,-495,10972,-545,10946,-585,10946,-585,10912,-618,10878,-638,10878,-431,10866,-356,10833,-303,10781,-272,10713,-262,10684,-262,10675,-264,10675,-581,10683,-582,10694,-584,10708,-585,10724,-585,10788,-575,10837,-546,10867,-498,10878,-431,10878,-638,10874,-640,10830,-656,10777,-666,10713,-669,10672,-669,10634,-667,10598,-663,10566,-658,10566,-184,10588,-181,10616,-179,10650,-177,10690,-177,10758,-180,10818,-192,10871,-211,10914,-239,10935,-262,10946,-273,10971,-317,10988,-371,10994,-435xm11000,305l10992,258,10973,226,10970,221,10951,208,10951,309,10946,344,10931,371,10909,388,10881,395,10881,395,10847,387,10822,365,10807,332,10802,291,10802,283,10804,276,10806,270,10819,252,10836,238,10851,231,10855,229,10877,226,10907,232,10930,248,10945,274,10951,309,10951,208,10935,198,10892,189,10864,192,10839,201,10820,215,10804,231,10803,231,10815,188,10840,150,10877,121,10928,104,10942,102,10955,101,10964,101,10964,101,10964,62,10956,62,10943,62,10929,64,10896,71,10866,82,10838,98,10814,117,10790,148,10770,185,10758,229,10753,279,10762,343,10788,391,10828,422,10880,432,10930,422,10967,395,10968,394,10992,353,11000,305xe" filled="true" fillcolor="#ffffff" stroked="false">
                  <v:path arrowok="t"/>
                  <v:fill type="solid"/>
                </v:shape>
                <v:shape style="position:absolute;left:8022;top:-1057;width:3346;height:2949" type="#_x0000_t202" id="docshape6" filled="false" stroked="false">
                  <v:textbox inset="0,0,0,0">
                    <w:txbxContent>
                      <w:p>
                        <w:pPr>
                          <w:spacing w:line="240" w:lineRule="auto" w:before="868"/>
                          <w:rPr>
                            <w:sz w:val="80"/>
                          </w:rPr>
                        </w:pPr>
                      </w:p>
                      <w:p>
                        <w:pPr>
                          <w:spacing w:before="0"/>
                          <w:ind w:left="0" w:right="106" w:firstLine="0"/>
                          <w:jc w:val="center"/>
                          <w:rPr>
                            <w:b/>
                            <w:sz w:val="80"/>
                          </w:rPr>
                        </w:pPr>
                        <w:r>
                          <w:rPr>
                            <w:b/>
                            <w:color w:val="FFFFFF"/>
                            <w:spacing w:val="-5"/>
                            <w:sz w:val="80"/>
                          </w:rPr>
                          <w:t>P4</w:t>
                        </w:r>
                      </w:p>
                    </w:txbxContent>
                  </v:textbox>
                  <w10:wrap type="none"/>
                </v:shape>
                <w10:wrap type="none"/>
              </v:group>
            </w:pict>
          </mc:Fallback>
        </mc:AlternateContent>
      </w:r>
      <w:r>
        <w:rPr/>
        <w:drawing>
          <wp:anchor distT="0" distB="0" distL="0" distR="0" allowOverlap="1" layoutInCell="1" locked="0" behindDoc="0" simplePos="0" relativeHeight="15729152">
            <wp:simplePos x="0" y="0"/>
            <wp:positionH relativeFrom="page">
              <wp:posOffset>3713796</wp:posOffset>
            </wp:positionH>
            <wp:positionV relativeFrom="paragraph">
              <wp:posOffset>-347023</wp:posOffset>
            </wp:positionV>
            <wp:extent cx="1254201" cy="84650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1254201" cy="846505"/>
                    </a:xfrm>
                    <a:prstGeom prst="rect">
                      <a:avLst/>
                    </a:prstGeom>
                  </pic:spPr>
                </pic:pic>
              </a:graphicData>
            </a:graphic>
          </wp:anchor>
        </w:drawing>
      </w:r>
      <w:r>
        <w:rPr>
          <w:color w:val="00AEEF"/>
          <w:sz w:val="32"/>
        </w:rPr>
        <w:t>The</w:t>
      </w:r>
      <w:r>
        <w:rPr>
          <w:color w:val="00AEEF"/>
          <w:spacing w:val="7"/>
          <w:sz w:val="32"/>
        </w:rPr>
        <w:t> </w:t>
      </w:r>
      <w:r>
        <w:rPr>
          <w:color w:val="00AEEF"/>
          <w:sz w:val="32"/>
        </w:rPr>
        <w:t>United</w:t>
      </w:r>
      <w:r>
        <w:rPr>
          <w:color w:val="00AEEF"/>
          <w:spacing w:val="7"/>
          <w:sz w:val="32"/>
        </w:rPr>
        <w:t> </w:t>
      </w:r>
      <w:r>
        <w:rPr>
          <w:color w:val="00AEEF"/>
          <w:sz w:val="32"/>
        </w:rPr>
        <w:t>Reformed</w:t>
      </w:r>
      <w:r>
        <w:rPr>
          <w:color w:val="00AEEF"/>
          <w:spacing w:val="8"/>
          <w:sz w:val="32"/>
        </w:rPr>
        <w:t> </w:t>
      </w:r>
      <w:r>
        <w:rPr>
          <w:color w:val="00AEEF"/>
          <w:spacing w:val="-2"/>
          <w:sz w:val="32"/>
        </w:rPr>
        <w:t>Church</w:t>
      </w:r>
    </w:p>
    <w:p>
      <w:pPr>
        <w:pStyle w:val="Title"/>
        <w:spacing w:before="37"/>
      </w:pPr>
      <w:r>
        <w:rPr>
          <w:color w:val="231F20"/>
        </w:rPr>
        <w:t>Template</w:t>
      </w:r>
      <w:r>
        <w:rPr>
          <w:color w:val="231F20"/>
          <w:spacing w:val="6"/>
        </w:rPr>
        <w:t> </w:t>
      </w:r>
      <w:r>
        <w:rPr>
          <w:color w:val="231F20"/>
        </w:rPr>
        <w:t>for</w:t>
      </w:r>
      <w:r>
        <w:rPr>
          <w:color w:val="231F20"/>
          <w:spacing w:val="9"/>
        </w:rPr>
        <w:t> </w:t>
      </w:r>
      <w:r>
        <w:rPr>
          <w:color w:val="231F20"/>
        </w:rPr>
        <w:t>a</w:t>
      </w:r>
      <w:r>
        <w:rPr>
          <w:color w:val="231F20"/>
          <w:spacing w:val="8"/>
        </w:rPr>
        <w:t> </w:t>
      </w:r>
      <w:r>
        <w:rPr>
          <w:color w:val="231F20"/>
        </w:rPr>
        <w:t>policy</w:t>
      </w:r>
      <w:r>
        <w:rPr>
          <w:color w:val="231F20"/>
          <w:spacing w:val="9"/>
        </w:rPr>
        <w:t> </w:t>
      </w:r>
      <w:r>
        <w:rPr>
          <w:color w:val="231F20"/>
          <w:spacing w:val="-5"/>
        </w:rPr>
        <w:t>on</w:t>
      </w:r>
    </w:p>
    <w:p>
      <w:pPr>
        <w:pStyle w:val="Title"/>
      </w:pPr>
      <w:r>
        <w:rPr>
          <w:color w:val="231F20"/>
        </w:rPr>
        <w:t>the</w:t>
      </w:r>
      <w:r>
        <w:rPr>
          <w:color w:val="231F20"/>
          <w:spacing w:val="24"/>
        </w:rPr>
        <w:t> </w:t>
      </w:r>
      <w:r>
        <w:rPr>
          <w:color w:val="231F20"/>
        </w:rPr>
        <w:t>recruitment</w:t>
      </w:r>
      <w:r>
        <w:rPr>
          <w:color w:val="231F20"/>
          <w:spacing w:val="24"/>
        </w:rPr>
        <w:t> </w:t>
      </w:r>
      <w:r>
        <w:rPr>
          <w:color w:val="231F20"/>
        </w:rPr>
        <w:t>of</w:t>
      </w:r>
      <w:r>
        <w:rPr>
          <w:color w:val="231F20"/>
          <w:spacing w:val="24"/>
        </w:rPr>
        <w:t> </w:t>
      </w:r>
      <w:r>
        <w:rPr>
          <w:color w:val="231F20"/>
        </w:rPr>
        <w:t>ex-</w:t>
      </w:r>
      <w:r>
        <w:rPr>
          <w:color w:val="231F20"/>
          <w:spacing w:val="-2"/>
        </w:rPr>
        <w:t>offenders</w:t>
      </w:r>
    </w:p>
    <w:p>
      <w:pPr>
        <w:pStyle w:val="BodyText"/>
        <w:spacing w:before="94"/>
        <w:ind w:left="0"/>
        <w:rPr>
          <w:b/>
          <w:sz w:val="40"/>
        </w:rPr>
      </w:pPr>
    </w:p>
    <w:p>
      <w:pPr>
        <w:pStyle w:val="Heading1"/>
      </w:pPr>
      <w:r>
        <w:rPr>
          <w:color w:val="231F20"/>
          <w:spacing w:val="-2"/>
        </w:rPr>
        <w:t>Introduction</w:t>
      </w:r>
    </w:p>
    <w:p>
      <w:pPr>
        <w:pStyle w:val="BodyText"/>
        <w:spacing w:line="249" w:lineRule="auto" w:before="12"/>
        <w:ind w:left="119" w:right="618"/>
      </w:pPr>
      <w:r>
        <w:rPr>
          <w:color w:val="231F20"/>
        </w:rPr>
        <w:t>The DBS Code of Practice, published under section 122 of the Police Act 1997, makes it a requirement that DBS applicants who have a criminal record are treated fairly and are not discriminated against because of a conviction or other information revealed in a DBS check.</w:t>
      </w:r>
      <w:r>
        <w:rPr>
          <w:color w:val="231F20"/>
          <w:spacing w:val="80"/>
          <w:w w:val="150"/>
        </w:rPr>
        <w:t> </w:t>
      </w:r>
      <w:r>
        <w:rPr>
          <w:color w:val="231F20"/>
        </w:rPr>
        <w:t>The Code also obliges bodies that undertake checks to have a written policy on the recruitment of ex-offenders; a copy of which can be given to DBS applicants at the outset of the recruitment process. The sample policy statement below can be used or adapted for this purpose.</w:t>
      </w:r>
    </w:p>
    <w:p>
      <w:pPr>
        <w:pStyle w:val="BodyText"/>
        <w:spacing w:before="18"/>
        <w:ind w:left="0"/>
      </w:pPr>
    </w:p>
    <w:p>
      <w:pPr>
        <w:pStyle w:val="Heading1"/>
      </w:pPr>
      <w:r>
        <w:rPr>
          <w:color w:val="231F20"/>
        </w:rPr>
        <w:t>Policy</w:t>
      </w:r>
      <w:r>
        <w:rPr>
          <w:color w:val="231F20"/>
          <w:spacing w:val="5"/>
        </w:rPr>
        <w:t> </w:t>
      </w:r>
      <w:r>
        <w:rPr>
          <w:color w:val="231F20"/>
          <w:spacing w:val="-2"/>
        </w:rPr>
        <w:t>statement</w:t>
      </w:r>
    </w:p>
    <w:p>
      <w:pPr>
        <w:pStyle w:val="BodyText"/>
        <w:spacing w:before="164"/>
        <w:ind w:left="5676"/>
      </w:pPr>
      <w:r>
        <w:rPr>
          <w:color w:val="231F20"/>
        </w:rPr>
        <w:t>complies</w:t>
      </w:r>
      <w:r>
        <w:rPr>
          <w:color w:val="231F20"/>
          <w:spacing w:val="8"/>
        </w:rPr>
        <w:t> </w:t>
      </w:r>
      <w:r>
        <w:rPr>
          <w:color w:val="231F20"/>
        </w:rPr>
        <w:t>fully</w:t>
      </w:r>
      <w:r>
        <w:rPr>
          <w:color w:val="231F20"/>
          <w:spacing w:val="10"/>
        </w:rPr>
        <w:t> </w:t>
      </w:r>
      <w:r>
        <w:rPr>
          <w:color w:val="231F20"/>
        </w:rPr>
        <w:t>with</w:t>
      </w:r>
      <w:r>
        <w:rPr>
          <w:color w:val="231F20"/>
          <w:spacing w:val="10"/>
        </w:rPr>
        <w:t> </w:t>
      </w:r>
      <w:r>
        <w:rPr>
          <w:color w:val="231F20"/>
        </w:rPr>
        <w:t>the</w:t>
      </w:r>
      <w:r>
        <w:rPr>
          <w:color w:val="231F20"/>
          <w:spacing w:val="11"/>
        </w:rPr>
        <w:t> </w:t>
      </w:r>
      <w:r>
        <w:rPr>
          <w:color w:val="231F20"/>
        </w:rPr>
        <w:t>DBS</w:t>
      </w:r>
      <w:r>
        <w:rPr>
          <w:color w:val="231F20"/>
          <w:spacing w:val="10"/>
        </w:rPr>
        <w:t> </w:t>
      </w:r>
      <w:r>
        <w:rPr>
          <w:color w:val="231F20"/>
        </w:rPr>
        <w:t>Code</w:t>
      </w:r>
      <w:r>
        <w:rPr>
          <w:color w:val="231F20"/>
          <w:spacing w:val="10"/>
        </w:rPr>
        <w:t> </w:t>
      </w:r>
      <w:r>
        <w:rPr>
          <w:color w:val="231F20"/>
        </w:rPr>
        <w:t>of</w:t>
      </w:r>
      <w:r>
        <w:rPr>
          <w:color w:val="231F20"/>
          <w:spacing w:val="11"/>
        </w:rPr>
        <w:t> </w:t>
      </w:r>
      <w:r>
        <w:rPr>
          <w:color w:val="231F20"/>
          <w:spacing w:val="-2"/>
        </w:rPr>
        <w:t>Practice</w:t>
      </w:r>
    </w:p>
    <w:p>
      <w:pPr>
        <w:pStyle w:val="BodyText"/>
        <w:spacing w:line="249" w:lineRule="auto" w:before="164"/>
        <w:ind w:right="465"/>
      </w:pPr>
      <w:r>
        <w:rPr>
          <w:color w:val="231F20"/>
        </w:rPr>
        <w:t>when assessing an applicant’s suitability for positions within the church which are included in the Rehabilitation of Offenders Act 1974 (Exceptions) Order. We are committed to treating all applicants fairly and to not discriminate against any subject of a criminal record check based on convictions or other information revealed.</w:t>
      </w:r>
    </w:p>
    <w:p>
      <w:pPr>
        <w:pStyle w:val="BodyText"/>
        <w:spacing w:before="168"/>
        <w:ind w:left="0"/>
      </w:pPr>
    </w:p>
    <w:p>
      <w:pPr>
        <w:pStyle w:val="BodyText"/>
        <w:ind w:left="5229"/>
      </w:pPr>
      <w:r>
        <w:rPr>
          <w:color w:val="231F20"/>
        </w:rPr>
        <w:t>will</w:t>
      </w:r>
      <w:r>
        <w:rPr>
          <w:color w:val="231F20"/>
          <w:spacing w:val="5"/>
        </w:rPr>
        <w:t> </w:t>
      </w:r>
      <w:r>
        <w:rPr>
          <w:color w:val="231F20"/>
        </w:rPr>
        <w:t>only</w:t>
      </w:r>
      <w:r>
        <w:rPr>
          <w:color w:val="231F20"/>
          <w:spacing w:val="5"/>
        </w:rPr>
        <w:t> </w:t>
      </w:r>
      <w:r>
        <w:rPr>
          <w:color w:val="231F20"/>
        </w:rPr>
        <w:t>request</w:t>
      </w:r>
      <w:r>
        <w:rPr>
          <w:color w:val="231F20"/>
          <w:spacing w:val="6"/>
        </w:rPr>
        <w:t> </w:t>
      </w:r>
      <w:r>
        <w:rPr>
          <w:color w:val="231F20"/>
        </w:rPr>
        <w:t>that</w:t>
      </w:r>
      <w:r>
        <w:rPr>
          <w:color w:val="231F20"/>
          <w:spacing w:val="5"/>
        </w:rPr>
        <w:t> </w:t>
      </w:r>
      <w:r>
        <w:rPr>
          <w:color w:val="231F20"/>
        </w:rPr>
        <w:t>an</w:t>
      </w:r>
      <w:r>
        <w:rPr>
          <w:color w:val="231F20"/>
          <w:spacing w:val="5"/>
        </w:rPr>
        <w:t> </w:t>
      </w:r>
      <w:r>
        <w:rPr>
          <w:color w:val="231F20"/>
        </w:rPr>
        <w:t>individual</w:t>
      </w:r>
      <w:r>
        <w:rPr>
          <w:color w:val="231F20"/>
          <w:spacing w:val="6"/>
        </w:rPr>
        <w:t> </w:t>
      </w:r>
      <w:r>
        <w:rPr>
          <w:color w:val="231F20"/>
          <w:spacing w:val="-2"/>
        </w:rPr>
        <w:t>disclose</w:t>
      </w:r>
    </w:p>
    <w:p>
      <w:pPr>
        <w:pStyle w:val="BodyText"/>
        <w:spacing w:line="249" w:lineRule="auto" w:before="164"/>
        <w:ind w:left="119" w:right="465"/>
      </w:pPr>
      <w:r>
        <w:rPr>
          <w:color w:val="231F20"/>
        </w:rPr>
        <w:t>details of convictions or cautions that we are legally entitled to know about. Where the position advertised is included in the Rehabilitation of Offenders Act 1974 (Exemptions) Order, a DBS certificate at either a basic, standard or enhanced level can legally be requested. Where a position falls within the legal definition of Regulated Activity, a check against the Barred Lists for Children and/or Adults will also be undertaken.</w:t>
      </w:r>
    </w:p>
    <w:p>
      <w:pPr>
        <w:pStyle w:val="BodyText"/>
        <w:spacing w:before="169"/>
        <w:ind w:left="0"/>
      </w:pPr>
    </w:p>
    <w:p>
      <w:pPr>
        <w:pStyle w:val="BodyText"/>
        <w:ind w:left="5160"/>
      </w:pPr>
      <w:r>
        <w:rPr>
          <w:color w:val="231F20"/>
        </w:rPr>
        <w:t>will</w:t>
      </w:r>
      <w:r>
        <w:rPr>
          <w:color w:val="231F20"/>
          <w:spacing w:val="5"/>
        </w:rPr>
        <w:t> </w:t>
      </w:r>
      <w:r>
        <w:rPr>
          <w:color w:val="231F20"/>
        </w:rPr>
        <w:t>only</w:t>
      </w:r>
      <w:r>
        <w:rPr>
          <w:color w:val="231F20"/>
          <w:spacing w:val="6"/>
        </w:rPr>
        <w:t> </w:t>
      </w:r>
      <w:r>
        <w:rPr>
          <w:color w:val="231F20"/>
        </w:rPr>
        <w:t>ask</w:t>
      </w:r>
      <w:r>
        <w:rPr>
          <w:color w:val="231F20"/>
          <w:spacing w:val="6"/>
        </w:rPr>
        <w:t> </w:t>
      </w:r>
      <w:r>
        <w:rPr>
          <w:color w:val="231F20"/>
        </w:rPr>
        <w:t>potential</w:t>
      </w:r>
      <w:r>
        <w:rPr>
          <w:color w:val="231F20"/>
          <w:spacing w:val="6"/>
        </w:rPr>
        <w:t> </w:t>
      </w:r>
      <w:r>
        <w:rPr>
          <w:color w:val="231F20"/>
        </w:rPr>
        <w:t>candidates</w:t>
      </w:r>
      <w:r>
        <w:rPr>
          <w:color w:val="231F20"/>
          <w:spacing w:val="7"/>
        </w:rPr>
        <w:t> </w:t>
      </w:r>
      <w:r>
        <w:rPr>
          <w:color w:val="231F20"/>
          <w:spacing w:val="-4"/>
        </w:rPr>
        <w:t>about</w:t>
      </w:r>
    </w:p>
    <w:p>
      <w:pPr>
        <w:pStyle w:val="BodyText"/>
        <w:spacing w:line="249" w:lineRule="auto" w:before="164"/>
        <w:ind w:right="450"/>
      </w:pPr>
      <w:r>
        <w:rPr>
          <w:color w:val="231F20"/>
        </w:rPr>
        <w:t>convictions and cautions that are not protected in law. We actively promote equality of</w:t>
      </w:r>
      <w:r>
        <w:rPr>
          <w:color w:val="231F20"/>
          <w:spacing w:val="80"/>
        </w:rPr>
        <w:t> </w:t>
      </w:r>
      <w:r>
        <w:rPr>
          <w:color w:val="231F20"/>
        </w:rPr>
        <w:t>opportunity for all and encourage applications from a wide range of candidates, including those with criminal records and regardless of race, gender, religion, sexual orientation, responsibilities for dependants, age, physical/mental disability or offending background. We select all candidates for interview based on their skills, qualifications and experience.</w:t>
      </w:r>
    </w:p>
    <w:p>
      <w:pPr>
        <w:pStyle w:val="BodyText"/>
        <w:spacing w:before="169"/>
        <w:ind w:left="0"/>
      </w:pPr>
    </w:p>
    <w:p>
      <w:pPr>
        <w:pStyle w:val="BodyText"/>
        <w:ind w:firstLine="5040"/>
      </w:pPr>
      <w:r>
        <w:rPr>
          <w:color w:val="231F20"/>
        </w:rPr>
        <w:t>will</w:t>
      </w:r>
      <w:r>
        <w:rPr>
          <w:color w:val="231F20"/>
          <w:spacing w:val="4"/>
        </w:rPr>
        <w:t> </w:t>
      </w:r>
      <w:r>
        <w:rPr>
          <w:color w:val="231F20"/>
        </w:rPr>
        <w:t>only</w:t>
      </w:r>
      <w:r>
        <w:rPr>
          <w:color w:val="231F20"/>
          <w:spacing w:val="6"/>
        </w:rPr>
        <w:t> </w:t>
      </w:r>
      <w:r>
        <w:rPr>
          <w:color w:val="231F20"/>
        </w:rPr>
        <w:t>make</w:t>
      </w:r>
      <w:r>
        <w:rPr>
          <w:color w:val="231F20"/>
          <w:spacing w:val="6"/>
        </w:rPr>
        <w:t> </w:t>
      </w:r>
      <w:r>
        <w:rPr>
          <w:color w:val="231F20"/>
        </w:rPr>
        <w:t>an</w:t>
      </w:r>
      <w:r>
        <w:rPr>
          <w:color w:val="231F20"/>
          <w:spacing w:val="6"/>
        </w:rPr>
        <w:t> </w:t>
      </w:r>
      <w:r>
        <w:rPr>
          <w:color w:val="231F20"/>
        </w:rPr>
        <w:t>application</w:t>
      </w:r>
      <w:r>
        <w:rPr>
          <w:color w:val="231F20"/>
          <w:spacing w:val="6"/>
        </w:rPr>
        <w:t> </w:t>
      </w:r>
      <w:r>
        <w:rPr>
          <w:color w:val="231F20"/>
        </w:rPr>
        <w:t>for</w:t>
      </w:r>
      <w:r>
        <w:rPr>
          <w:color w:val="231F20"/>
          <w:spacing w:val="6"/>
        </w:rPr>
        <w:t> </w:t>
      </w:r>
      <w:r>
        <w:rPr>
          <w:color w:val="231F20"/>
        </w:rPr>
        <w:t>a</w:t>
      </w:r>
      <w:r>
        <w:rPr>
          <w:color w:val="231F20"/>
          <w:spacing w:val="6"/>
        </w:rPr>
        <w:t> </w:t>
      </w:r>
      <w:r>
        <w:rPr>
          <w:color w:val="231F20"/>
        </w:rPr>
        <w:t>criminal</w:t>
      </w:r>
      <w:r>
        <w:rPr>
          <w:color w:val="231F20"/>
          <w:spacing w:val="7"/>
        </w:rPr>
        <w:t> </w:t>
      </w:r>
      <w:r>
        <w:rPr>
          <w:color w:val="231F20"/>
          <w:spacing w:val="-2"/>
        </w:rPr>
        <w:t>record</w:t>
      </w:r>
    </w:p>
    <w:p>
      <w:pPr>
        <w:pStyle w:val="BodyText"/>
        <w:spacing w:line="249" w:lineRule="auto" w:before="164"/>
        <w:ind w:right="465"/>
      </w:pPr>
      <w:r>
        <w:rPr>
          <w:color w:val="231F20"/>
        </w:rPr>
        <w:t>check through the DBS service where the law indicates that this is proportionate and necessary to the position advertised, such as those roles which involve working with children and adults at risk in a regulated or unregulated activity. Where this is the case, application forms, job adverts and recruitment information will contain explicit reference to the fact that this position requires a criminal record check in the event that the applicant is offered the position.</w:t>
      </w:r>
    </w:p>
    <w:p>
      <w:pPr>
        <w:spacing w:after="0" w:line="249" w:lineRule="auto"/>
        <w:sectPr>
          <w:footerReference w:type="default" r:id="rId5"/>
          <w:type w:val="continuous"/>
          <w:pgSz w:w="11910" w:h="16840"/>
          <w:pgMar w:header="0" w:footer="495" w:top="0" w:bottom="680" w:left="600" w:right="420"/>
          <w:pgNumType w:start="1"/>
        </w:sectPr>
      </w:pPr>
    </w:p>
    <w:p>
      <w:pPr>
        <w:pStyle w:val="BodyText"/>
        <w:spacing w:before="72"/>
      </w:pPr>
      <w:r>
        <w:rPr>
          <w:color w:val="231F20"/>
        </w:rPr>
        <w:t>At</w:t>
      </w:r>
      <w:r>
        <w:rPr>
          <w:color w:val="231F20"/>
          <w:spacing w:val="10"/>
        </w:rPr>
        <w:t> </w:t>
      </w:r>
      <w:r>
        <w:rPr>
          <w:color w:val="231F20"/>
        </w:rPr>
        <w:t>interview</w:t>
      </w:r>
      <w:r>
        <w:rPr>
          <w:color w:val="231F20"/>
          <w:spacing w:val="13"/>
        </w:rPr>
        <w:t> </w:t>
      </w:r>
      <w:r>
        <w:rPr>
          <w:color w:val="231F20"/>
        </w:rPr>
        <w:t>or</w:t>
      </w:r>
      <w:r>
        <w:rPr>
          <w:color w:val="231F20"/>
          <w:spacing w:val="13"/>
        </w:rPr>
        <w:t> </w:t>
      </w:r>
      <w:r>
        <w:rPr>
          <w:color w:val="231F20"/>
        </w:rPr>
        <w:t>during</w:t>
      </w:r>
      <w:r>
        <w:rPr>
          <w:color w:val="231F20"/>
          <w:spacing w:val="12"/>
        </w:rPr>
        <w:t> </w:t>
      </w:r>
      <w:r>
        <w:rPr>
          <w:color w:val="231F20"/>
        </w:rPr>
        <w:t>an</w:t>
      </w:r>
      <w:r>
        <w:rPr>
          <w:color w:val="231F20"/>
          <w:spacing w:val="13"/>
        </w:rPr>
        <w:t> </w:t>
      </w:r>
      <w:r>
        <w:rPr>
          <w:color w:val="231F20"/>
        </w:rPr>
        <w:t>appropriate</w:t>
      </w:r>
      <w:r>
        <w:rPr>
          <w:color w:val="231F20"/>
          <w:spacing w:val="13"/>
        </w:rPr>
        <w:t> </w:t>
      </w:r>
      <w:r>
        <w:rPr>
          <w:color w:val="231F20"/>
          <w:spacing w:val="-2"/>
        </w:rPr>
        <w:t>discussion,</w:t>
      </w:r>
    </w:p>
    <w:p>
      <w:pPr>
        <w:pStyle w:val="BodyText"/>
        <w:spacing w:line="249" w:lineRule="auto" w:before="164"/>
        <w:ind w:left="119" w:right="465"/>
      </w:pPr>
      <w:r>
        <w:rPr>
          <w:color w:val="231F20"/>
        </w:rPr>
        <w:t>will ensure that an open conversation takes place with the applicant regarding any offences or other information that may be relevant to the position. Failure of the applicant to share any information that is</w:t>
      </w:r>
      <w:r>
        <w:rPr>
          <w:color w:val="231F20"/>
          <w:spacing w:val="40"/>
        </w:rPr>
        <w:t> </w:t>
      </w:r>
      <w:r>
        <w:rPr>
          <w:color w:val="231F20"/>
        </w:rPr>
        <w:t>relevant to the position sought may result in the withdrawal of an offer of employment or voluntary position.</w:t>
      </w:r>
    </w:p>
    <w:p>
      <w:pPr>
        <w:pStyle w:val="BodyText"/>
        <w:spacing w:before="3"/>
        <w:ind w:left="0"/>
      </w:pPr>
    </w:p>
    <w:p>
      <w:pPr>
        <w:pStyle w:val="BodyText"/>
        <w:spacing w:line="440" w:lineRule="atLeast"/>
        <w:ind w:right="465" w:firstLine="5610"/>
      </w:pPr>
      <w:r>
        <w:rPr>
          <w:color w:val="231F20"/>
        </w:rPr>
        <w:t>ensures that all those who are involved with the recruitment process have been suitably trained to identify and assess the relevance and</w:t>
      </w:r>
    </w:p>
    <w:p>
      <w:pPr>
        <w:pStyle w:val="BodyText"/>
        <w:spacing w:before="12"/>
      </w:pPr>
      <w:r>
        <w:rPr>
          <w:color w:val="231F20"/>
        </w:rPr>
        <w:t>circumstances</w:t>
      </w:r>
      <w:r>
        <w:rPr>
          <w:color w:val="231F20"/>
          <w:spacing w:val="10"/>
        </w:rPr>
        <w:t> </w:t>
      </w:r>
      <w:r>
        <w:rPr>
          <w:color w:val="231F20"/>
        </w:rPr>
        <w:t>of</w:t>
      </w:r>
      <w:r>
        <w:rPr>
          <w:color w:val="231F20"/>
          <w:spacing w:val="5"/>
        </w:rPr>
        <w:t> </w:t>
      </w:r>
      <w:r>
        <w:rPr>
          <w:color w:val="231F20"/>
          <w:spacing w:val="-2"/>
        </w:rPr>
        <w:t>offences.</w:t>
      </w:r>
    </w:p>
    <w:p>
      <w:pPr>
        <w:pStyle w:val="BodyText"/>
        <w:spacing w:before="165"/>
      </w:pPr>
      <w:r>
        <w:rPr>
          <w:color w:val="231F20"/>
        </w:rPr>
        <w:t>will</w:t>
      </w:r>
      <w:r>
        <w:rPr>
          <w:color w:val="231F20"/>
          <w:spacing w:val="10"/>
        </w:rPr>
        <w:t> </w:t>
      </w:r>
      <w:r>
        <w:rPr>
          <w:color w:val="231F20"/>
        </w:rPr>
        <w:t>also</w:t>
      </w:r>
      <w:r>
        <w:rPr>
          <w:color w:val="231F20"/>
          <w:spacing w:val="13"/>
        </w:rPr>
        <w:t> </w:t>
      </w:r>
      <w:r>
        <w:rPr>
          <w:color w:val="231F20"/>
        </w:rPr>
        <w:t>ensure</w:t>
      </w:r>
      <w:r>
        <w:rPr>
          <w:color w:val="231F20"/>
          <w:spacing w:val="12"/>
        </w:rPr>
        <w:t> </w:t>
      </w:r>
      <w:r>
        <w:rPr>
          <w:color w:val="231F20"/>
        </w:rPr>
        <w:t>that</w:t>
      </w:r>
      <w:r>
        <w:rPr>
          <w:color w:val="231F20"/>
          <w:spacing w:val="13"/>
        </w:rPr>
        <w:t> </w:t>
      </w:r>
      <w:r>
        <w:rPr>
          <w:color w:val="231F20"/>
        </w:rPr>
        <w:t>they</w:t>
      </w:r>
      <w:r>
        <w:rPr>
          <w:color w:val="231F20"/>
          <w:spacing w:val="13"/>
        </w:rPr>
        <w:t> </w:t>
      </w:r>
      <w:r>
        <w:rPr>
          <w:color w:val="231F20"/>
        </w:rPr>
        <w:t>have</w:t>
      </w:r>
      <w:r>
        <w:rPr>
          <w:color w:val="231F20"/>
          <w:spacing w:val="12"/>
        </w:rPr>
        <w:t> </w:t>
      </w:r>
      <w:r>
        <w:rPr>
          <w:color w:val="231F20"/>
        </w:rPr>
        <w:t>received</w:t>
      </w:r>
      <w:r>
        <w:rPr>
          <w:color w:val="231F20"/>
          <w:spacing w:val="13"/>
        </w:rPr>
        <w:t> </w:t>
      </w:r>
      <w:r>
        <w:rPr>
          <w:color w:val="231F20"/>
        </w:rPr>
        <w:t>appropriate</w:t>
      </w:r>
      <w:r>
        <w:rPr>
          <w:color w:val="231F20"/>
          <w:spacing w:val="12"/>
        </w:rPr>
        <w:t> </w:t>
      </w:r>
      <w:r>
        <w:rPr>
          <w:color w:val="231F20"/>
        </w:rPr>
        <w:t>training</w:t>
      </w:r>
      <w:r>
        <w:rPr>
          <w:color w:val="231F20"/>
          <w:spacing w:val="13"/>
        </w:rPr>
        <w:t> </w:t>
      </w:r>
      <w:r>
        <w:rPr>
          <w:color w:val="231F20"/>
        </w:rPr>
        <w:t>and</w:t>
      </w:r>
      <w:r>
        <w:rPr>
          <w:color w:val="231F20"/>
          <w:spacing w:val="13"/>
        </w:rPr>
        <w:t> </w:t>
      </w:r>
      <w:r>
        <w:rPr>
          <w:color w:val="231F20"/>
        </w:rPr>
        <w:t>guidance</w:t>
      </w:r>
      <w:r>
        <w:rPr>
          <w:color w:val="231F20"/>
          <w:spacing w:val="12"/>
        </w:rPr>
        <w:t> </w:t>
      </w:r>
      <w:r>
        <w:rPr>
          <w:color w:val="231F20"/>
        </w:rPr>
        <w:t>in</w:t>
      </w:r>
      <w:r>
        <w:rPr>
          <w:color w:val="231F20"/>
          <w:spacing w:val="13"/>
        </w:rPr>
        <w:t> </w:t>
      </w:r>
      <w:r>
        <w:rPr>
          <w:color w:val="231F20"/>
        </w:rPr>
        <w:t>the</w:t>
      </w:r>
      <w:r>
        <w:rPr>
          <w:color w:val="231F20"/>
          <w:spacing w:val="13"/>
        </w:rPr>
        <w:t> </w:t>
      </w:r>
      <w:r>
        <w:rPr>
          <w:color w:val="231F20"/>
          <w:spacing w:val="-2"/>
        </w:rPr>
        <w:t>relevant</w:t>
      </w:r>
    </w:p>
    <w:p>
      <w:pPr>
        <w:pStyle w:val="BodyText"/>
        <w:spacing w:before="12"/>
      </w:pPr>
      <w:r>
        <w:rPr>
          <w:color w:val="231F20"/>
        </w:rPr>
        <w:t>legislation</w:t>
      </w:r>
      <w:r>
        <w:rPr>
          <w:color w:val="231F20"/>
          <w:spacing w:val="9"/>
        </w:rPr>
        <w:t> </w:t>
      </w:r>
      <w:r>
        <w:rPr>
          <w:color w:val="231F20"/>
        </w:rPr>
        <w:t>and</w:t>
      </w:r>
      <w:r>
        <w:rPr>
          <w:color w:val="231F20"/>
          <w:spacing w:val="11"/>
        </w:rPr>
        <w:t> </w:t>
      </w:r>
      <w:r>
        <w:rPr>
          <w:color w:val="231F20"/>
        </w:rPr>
        <w:t>understand</w:t>
      </w:r>
      <w:r>
        <w:rPr>
          <w:color w:val="231F20"/>
          <w:spacing w:val="11"/>
        </w:rPr>
        <w:t> </w:t>
      </w:r>
      <w:r>
        <w:rPr>
          <w:color w:val="231F20"/>
        </w:rPr>
        <w:t>the</w:t>
      </w:r>
      <w:r>
        <w:rPr>
          <w:color w:val="231F20"/>
          <w:spacing w:val="12"/>
        </w:rPr>
        <w:t> </w:t>
      </w:r>
      <w:r>
        <w:rPr>
          <w:color w:val="231F20"/>
        </w:rPr>
        <w:t>importance</w:t>
      </w:r>
      <w:r>
        <w:rPr>
          <w:color w:val="231F20"/>
          <w:spacing w:val="11"/>
        </w:rPr>
        <w:t> </w:t>
      </w:r>
      <w:r>
        <w:rPr>
          <w:color w:val="231F20"/>
        </w:rPr>
        <w:t>of</w:t>
      </w:r>
      <w:r>
        <w:rPr>
          <w:color w:val="231F20"/>
          <w:spacing w:val="11"/>
        </w:rPr>
        <w:t> </w:t>
      </w:r>
      <w:r>
        <w:rPr>
          <w:color w:val="231F20"/>
        </w:rPr>
        <w:t>confidentiality</w:t>
      </w:r>
      <w:r>
        <w:rPr>
          <w:color w:val="231F20"/>
          <w:spacing w:val="12"/>
        </w:rPr>
        <w:t> </w:t>
      </w:r>
      <w:r>
        <w:rPr>
          <w:color w:val="231F20"/>
        </w:rPr>
        <w:t>throughout</w:t>
      </w:r>
      <w:r>
        <w:rPr>
          <w:color w:val="231F20"/>
          <w:spacing w:val="11"/>
        </w:rPr>
        <w:t> </w:t>
      </w:r>
      <w:r>
        <w:rPr>
          <w:color w:val="231F20"/>
        </w:rPr>
        <w:t>the</w:t>
      </w:r>
      <w:r>
        <w:rPr>
          <w:color w:val="231F20"/>
          <w:spacing w:val="11"/>
        </w:rPr>
        <w:t> </w:t>
      </w:r>
      <w:r>
        <w:rPr>
          <w:color w:val="231F20"/>
        </w:rPr>
        <w:t>recruitment</w:t>
      </w:r>
      <w:r>
        <w:rPr>
          <w:color w:val="231F20"/>
          <w:spacing w:val="12"/>
        </w:rPr>
        <w:t> </w:t>
      </w:r>
      <w:r>
        <w:rPr>
          <w:color w:val="231F20"/>
          <w:spacing w:val="-2"/>
        </w:rPr>
        <w:t>process.</w:t>
      </w:r>
    </w:p>
    <w:p>
      <w:pPr>
        <w:pStyle w:val="BodyText"/>
        <w:spacing w:before="175"/>
        <w:ind w:left="0"/>
      </w:pPr>
    </w:p>
    <w:p>
      <w:pPr>
        <w:pStyle w:val="BodyText"/>
        <w:spacing w:before="1"/>
        <w:ind w:left="5160"/>
      </w:pPr>
      <w:r>
        <w:rPr>
          <w:color w:val="231F20"/>
        </w:rPr>
        <w:t>will</w:t>
      </w:r>
      <w:r>
        <w:rPr>
          <w:color w:val="231F20"/>
          <w:spacing w:val="2"/>
        </w:rPr>
        <w:t> </w:t>
      </w:r>
      <w:r>
        <w:rPr>
          <w:color w:val="231F20"/>
        </w:rPr>
        <w:t>discuss</w:t>
      </w:r>
      <w:r>
        <w:rPr>
          <w:color w:val="231F20"/>
          <w:spacing w:val="5"/>
        </w:rPr>
        <w:t> </w:t>
      </w:r>
      <w:r>
        <w:rPr>
          <w:color w:val="231F20"/>
        </w:rPr>
        <w:t>any</w:t>
      </w:r>
      <w:r>
        <w:rPr>
          <w:color w:val="231F20"/>
          <w:spacing w:val="5"/>
        </w:rPr>
        <w:t> </w:t>
      </w:r>
      <w:r>
        <w:rPr>
          <w:color w:val="231F20"/>
        </w:rPr>
        <w:t>matter</w:t>
      </w:r>
      <w:r>
        <w:rPr>
          <w:color w:val="231F20"/>
          <w:spacing w:val="4"/>
        </w:rPr>
        <w:t> </w:t>
      </w:r>
      <w:r>
        <w:rPr>
          <w:color w:val="231F20"/>
        </w:rPr>
        <w:t>revealed</w:t>
      </w:r>
      <w:r>
        <w:rPr>
          <w:color w:val="231F20"/>
          <w:spacing w:val="5"/>
        </w:rPr>
        <w:t> </w:t>
      </w:r>
      <w:r>
        <w:rPr>
          <w:color w:val="231F20"/>
        </w:rPr>
        <w:t>on</w:t>
      </w:r>
      <w:r>
        <w:rPr>
          <w:color w:val="231F20"/>
          <w:spacing w:val="5"/>
        </w:rPr>
        <w:t> </w:t>
      </w:r>
      <w:r>
        <w:rPr>
          <w:color w:val="231F20"/>
        </w:rPr>
        <w:t>a</w:t>
      </w:r>
      <w:r>
        <w:rPr>
          <w:color w:val="231F20"/>
          <w:spacing w:val="5"/>
        </w:rPr>
        <w:t> </w:t>
      </w:r>
      <w:r>
        <w:rPr>
          <w:color w:val="231F20"/>
          <w:spacing w:val="-5"/>
        </w:rPr>
        <w:t>DBS</w:t>
      </w:r>
    </w:p>
    <w:p>
      <w:pPr>
        <w:pStyle w:val="BodyText"/>
        <w:spacing w:line="249" w:lineRule="auto" w:before="164"/>
        <w:ind w:left="119" w:right="465"/>
      </w:pPr>
      <w:r>
        <w:rPr>
          <w:color w:val="231F20"/>
        </w:rPr>
        <w:t>certificate with the individual seeking the position before a decision is made whether to continue with the offer of employment. A risk assessment will be conducted with the applicant and only</w:t>
      </w:r>
    </w:p>
    <w:p>
      <w:pPr>
        <w:pStyle w:val="BodyText"/>
        <w:spacing w:before="2"/>
      </w:pPr>
      <w:r>
        <w:rPr>
          <w:color w:val="231F20"/>
        </w:rPr>
        <w:t>in</w:t>
      </w:r>
      <w:r>
        <w:rPr>
          <w:color w:val="231F20"/>
          <w:spacing w:val="6"/>
        </w:rPr>
        <w:t> </w:t>
      </w:r>
      <w:r>
        <w:rPr>
          <w:color w:val="231F20"/>
        </w:rPr>
        <w:t>cases</w:t>
      </w:r>
      <w:r>
        <w:rPr>
          <w:color w:val="231F20"/>
          <w:spacing w:val="7"/>
        </w:rPr>
        <w:t> </w:t>
      </w:r>
      <w:r>
        <w:rPr>
          <w:color w:val="231F20"/>
        </w:rPr>
        <w:t>where</w:t>
      </w:r>
      <w:r>
        <w:rPr>
          <w:color w:val="231F20"/>
          <w:spacing w:val="7"/>
        </w:rPr>
        <w:t> </w:t>
      </w:r>
      <w:r>
        <w:rPr>
          <w:color w:val="231F20"/>
        </w:rPr>
        <w:t>the</w:t>
      </w:r>
      <w:r>
        <w:rPr>
          <w:color w:val="231F20"/>
          <w:spacing w:val="6"/>
        </w:rPr>
        <w:t> </w:t>
      </w:r>
      <w:r>
        <w:rPr>
          <w:color w:val="231F20"/>
        </w:rPr>
        <w:t>disclosure</w:t>
      </w:r>
      <w:r>
        <w:rPr>
          <w:color w:val="231F20"/>
          <w:spacing w:val="7"/>
        </w:rPr>
        <w:t> </w:t>
      </w:r>
      <w:r>
        <w:rPr>
          <w:color w:val="231F20"/>
        </w:rPr>
        <w:t>impacts</w:t>
      </w:r>
      <w:r>
        <w:rPr>
          <w:color w:val="231F20"/>
          <w:spacing w:val="7"/>
        </w:rPr>
        <w:t> </w:t>
      </w:r>
      <w:r>
        <w:rPr>
          <w:color w:val="231F20"/>
        </w:rPr>
        <w:t>upon</w:t>
      </w:r>
      <w:r>
        <w:rPr>
          <w:color w:val="231F20"/>
          <w:spacing w:val="6"/>
        </w:rPr>
        <w:t> </w:t>
      </w:r>
      <w:r>
        <w:rPr>
          <w:color w:val="231F20"/>
        </w:rPr>
        <w:t>the</w:t>
      </w:r>
      <w:r>
        <w:rPr>
          <w:color w:val="231F20"/>
          <w:spacing w:val="7"/>
        </w:rPr>
        <w:t> </w:t>
      </w:r>
      <w:r>
        <w:rPr>
          <w:color w:val="231F20"/>
        </w:rPr>
        <w:t>applicant’s</w:t>
      </w:r>
      <w:r>
        <w:rPr>
          <w:color w:val="231F20"/>
          <w:spacing w:val="7"/>
        </w:rPr>
        <w:t> </w:t>
      </w:r>
      <w:r>
        <w:rPr>
          <w:color w:val="231F20"/>
        </w:rPr>
        <w:t>ability</w:t>
      </w:r>
      <w:r>
        <w:rPr>
          <w:color w:val="231F20"/>
          <w:spacing w:val="7"/>
        </w:rPr>
        <w:t> </w:t>
      </w:r>
      <w:r>
        <w:rPr>
          <w:color w:val="231F20"/>
        </w:rPr>
        <w:t>to</w:t>
      </w:r>
      <w:r>
        <w:rPr>
          <w:color w:val="231F20"/>
          <w:spacing w:val="6"/>
        </w:rPr>
        <w:t> </w:t>
      </w:r>
      <w:r>
        <w:rPr>
          <w:color w:val="231F20"/>
        </w:rPr>
        <w:t>safely</w:t>
      </w:r>
      <w:r>
        <w:rPr>
          <w:color w:val="231F20"/>
          <w:spacing w:val="7"/>
        </w:rPr>
        <w:t> </w:t>
      </w:r>
      <w:r>
        <w:rPr>
          <w:color w:val="231F20"/>
        </w:rPr>
        <w:t>hold</w:t>
      </w:r>
      <w:r>
        <w:rPr>
          <w:color w:val="231F20"/>
          <w:spacing w:val="7"/>
        </w:rPr>
        <w:t> </w:t>
      </w:r>
      <w:r>
        <w:rPr>
          <w:color w:val="231F20"/>
        </w:rPr>
        <w:t>the</w:t>
      </w:r>
      <w:r>
        <w:rPr>
          <w:color w:val="231F20"/>
          <w:spacing w:val="6"/>
        </w:rPr>
        <w:t> </w:t>
      </w:r>
      <w:r>
        <w:rPr>
          <w:color w:val="231F20"/>
        </w:rPr>
        <w:t>offer</w:t>
      </w:r>
      <w:r>
        <w:rPr>
          <w:color w:val="231F20"/>
          <w:spacing w:val="7"/>
        </w:rPr>
        <w:t> </w:t>
      </w:r>
      <w:r>
        <w:rPr>
          <w:color w:val="231F20"/>
          <w:spacing w:val="-5"/>
        </w:rPr>
        <w:t>of</w:t>
      </w:r>
    </w:p>
    <w:p>
      <w:pPr>
        <w:pStyle w:val="BodyText"/>
        <w:tabs>
          <w:tab w:pos="7319" w:val="left" w:leader="none"/>
        </w:tabs>
        <w:spacing w:line="381" w:lineRule="auto" w:before="12"/>
        <w:ind w:right="402"/>
      </w:pPr>
      <w:r>
        <w:rPr>
          <w:color w:val="231F20"/>
        </w:rPr>
        <w:t>employment will it be withdrawn. This is provided that the information revealed has been brought </w:t>
      </w:r>
      <w:r>
        <w:rPr>
          <w:color w:val="231F20"/>
          <w:spacing w:val="-5"/>
        </w:rPr>
        <w:t>to</w:t>
      </w:r>
      <w:r>
        <w:rPr>
          <w:color w:val="231F20"/>
        </w:rPr>
        <w:tab/>
        <w:t>’s</w:t>
      </w:r>
      <w:r>
        <w:rPr>
          <w:color w:val="231F20"/>
          <w:spacing w:val="3"/>
        </w:rPr>
        <w:t> </w:t>
      </w:r>
      <w:r>
        <w:rPr>
          <w:color w:val="231F20"/>
        </w:rPr>
        <w:t>attention</w:t>
      </w:r>
      <w:r>
        <w:rPr>
          <w:color w:val="231F20"/>
          <w:spacing w:val="5"/>
        </w:rPr>
        <w:t> </w:t>
      </w:r>
      <w:r>
        <w:rPr>
          <w:color w:val="231F20"/>
        </w:rPr>
        <w:t>prior</w:t>
      </w:r>
      <w:r>
        <w:rPr>
          <w:color w:val="231F20"/>
          <w:spacing w:val="5"/>
        </w:rPr>
        <w:t> </w:t>
      </w:r>
      <w:r>
        <w:rPr>
          <w:color w:val="231F20"/>
        </w:rPr>
        <w:t>to</w:t>
      </w:r>
      <w:r>
        <w:rPr>
          <w:color w:val="231F20"/>
          <w:spacing w:val="5"/>
        </w:rPr>
        <w:t> </w:t>
      </w:r>
      <w:r>
        <w:rPr>
          <w:color w:val="231F20"/>
          <w:spacing w:val="-2"/>
        </w:rPr>
        <w:t>disclosure</w:t>
      </w:r>
    </w:p>
    <w:p>
      <w:pPr>
        <w:pStyle w:val="BodyText"/>
        <w:spacing w:before="2"/>
      </w:pPr>
      <w:r>
        <w:rPr>
          <w:color w:val="231F20"/>
        </w:rPr>
        <w:t>being</w:t>
      </w:r>
      <w:r>
        <w:rPr>
          <w:color w:val="231F20"/>
          <w:spacing w:val="7"/>
        </w:rPr>
        <w:t> </w:t>
      </w:r>
      <w:r>
        <w:rPr>
          <w:color w:val="231F20"/>
          <w:spacing w:val="-2"/>
        </w:rPr>
        <w:t>received.</w:t>
      </w:r>
    </w:p>
    <w:p>
      <w:pPr>
        <w:pStyle w:val="BodyText"/>
        <w:spacing w:before="176"/>
        <w:ind w:left="0"/>
      </w:pPr>
    </w:p>
    <w:p>
      <w:pPr>
        <w:pStyle w:val="BodyText"/>
        <w:spacing w:line="381" w:lineRule="auto"/>
        <w:ind w:right="659" w:firstLine="5040"/>
        <w:jc w:val="both"/>
      </w:pPr>
      <w:r>
        <w:rPr>
          <w:color w:val="231F20"/>
        </w:rPr>
        <w:t>makes every subject of a criminal record check submitted to DBS aware of the existence of the Code of Practice, and makes a copy available on request.</w:t>
      </w:r>
    </w:p>
    <w:sectPr>
      <w:pgSz w:w="11910" w:h="16840"/>
      <w:pgMar w:header="0" w:footer="495" w:top="580" w:bottom="680" w:left="60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542784">
          <wp:simplePos x="0" y="0"/>
          <wp:positionH relativeFrom="page">
            <wp:posOffset>2337352</wp:posOffset>
          </wp:positionH>
          <wp:positionV relativeFrom="page">
            <wp:posOffset>10264557</wp:posOffset>
          </wp:positionV>
          <wp:extent cx="145694" cy="14569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drawing>
        <wp:anchor distT="0" distB="0" distL="0" distR="0" allowOverlap="1" layoutInCell="1" locked="0" behindDoc="1" simplePos="0" relativeHeight="487543296">
          <wp:simplePos x="0" y="0"/>
          <wp:positionH relativeFrom="page">
            <wp:posOffset>5083302</wp:posOffset>
          </wp:positionH>
          <wp:positionV relativeFrom="page">
            <wp:posOffset>10264557</wp:posOffset>
          </wp:positionV>
          <wp:extent cx="145694" cy="14569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mc:AlternateContent>
        <mc:Choice Requires="wps">
          <w:drawing>
            <wp:anchor distT="0" distB="0" distL="0" distR="0" allowOverlap="1" layoutInCell="1" locked="0" behindDoc="1" simplePos="0" relativeHeight="487543808">
              <wp:simplePos x="0" y="0"/>
              <wp:positionH relativeFrom="page">
                <wp:posOffset>2600600</wp:posOffset>
              </wp:positionH>
              <wp:positionV relativeFrom="page">
                <wp:posOffset>10238290</wp:posOffset>
              </wp:positionV>
              <wp:extent cx="2359025"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59025" cy="196215"/>
                      </a:xfrm>
                      <a:prstGeom prst="rect">
                        <a:avLst/>
                      </a:prstGeom>
                    </wps:spPr>
                    <wps:txbx>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P4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4.771698pt;margin-top:806.164612pt;width:185.75pt;height:15.45pt;mso-position-horizontal-relative:page;mso-position-vertical-relative:page;z-index:-15772672" type="#_x0000_t202" id="docshape1" filled="false" stroked="false">
              <v:textbox inset="0,0,0,0">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P4</w:t>
                    </w:r>
                  </w:p>
                </w:txbxContent>
              </v:textbox>
              <w10:wrap type="none"/>
            </v:shape>
          </w:pict>
        </mc:Fallback>
      </mc:AlternateContent>
    </w:r>
    <w:r>
      <w:rPr/>
      <mc:AlternateContent>
        <mc:Choice Requires="wps">
          <w:drawing>
            <wp:anchor distT="0" distB="0" distL="0" distR="0" allowOverlap="1" layoutInCell="1" locked="0" behindDoc="1" simplePos="0" relativeHeight="487544320">
              <wp:simplePos x="0" y="0"/>
              <wp:positionH relativeFrom="page">
                <wp:posOffset>419100</wp:posOffset>
              </wp:positionH>
              <wp:positionV relativeFrom="page">
                <wp:posOffset>10249090</wp:posOffset>
              </wp:positionV>
              <wp:extent cx="173990"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990" cy="196215"/>
                      </a:xfrm>
                      <a:prstGeom prst="rect">
                        <a:avLst/>
                      </a:prstGeom>
                    </wps:spPr>
                    <wps:txbx>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wps:txbx>
                    <wps:bodyPr wrap="square" lIns="0" tIns="0" rIns="0" bIns="0" rtlCol="0">
                      <a:noAutofit/>
                    </wps:bodyPr>
                  </wps:wsp>
                </a:graphicData>
              </a:graphic>
            </wp:anchor>
          </w:drawing>
        </mc:Choice>
        <mc:Fallback>
          <w:pict>
            <v:shape style="position:absolute;margin-left:33pt;margin-top:807.015015pt;width:13.7pt;height:15.45pt;mso-position-horizontal-relative:page;mso-position-vertical-relative:page;z-index:-15772160" type="#_x0000_t202" id="docshape2" filled="false" stroked="false">
              <v:textbox inset="0,0,0,0">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0"/>
    </w:pPr>
    <w:rPr>
      <w:rFonts w:ascii="Arial" w:hAnsi="Arial" w:eastAsia="Arial" w:cs="Arial"/>
      <w:sz w:val="24"/>
      <w:szCs w:val="24"/>
      <w:lang w:val="en-US" w:eastAsia="en-US" w:bidi="ar-SA"/>
    </w:rPr>
  </w:style>
  <w:style w:styleId="Heading1" w:type="paragraph">
    <w:name w:val="Heading 1"/>
    <w:basedOn w:val="Normal"/>
    <w:uiPriority w:val="1"/>
    <w:qFormat/>
    <w:pPr>
      <w:ind w:left="120"/>
      <w:outlineLvl w:val="1"/>
    </w:pPr>
    <w:rPr>
      <w:rFonts w:ascii="Arial" w:hAnsi="Arial" w:eastAsia="Arial" w:cs="Arial"/>
      <w:b/>
      <w:bCs/>
      <w:sz w:val="24"/>
      <w:szCs w:val="24"/>
      <w:lang w:val="en-US" w:eastAsia="en-US" w:bidi="ar-SA"/>
    </w:rPr>
  </w:style>
  <w:style w:styleId="Title" w:type="paragraph">
    <w:name w:val="Title"/>
    <w:basedOn w:val="Normal"/>
    <w:uiPriority w:val="1"/>
    <w:qFormat/>
    <w:pPr>
      <w:spacing w:before="20"/>
      <w:ind w:left="120"/>
    </w:pPr>
    <w:rPr>
      <w:rFonts w:ascii="Arial" w:hAnsi="Arial" w:eastAsia="Arial" w:cs="Arial"/>
      <w:b/>
      <w:bCs/>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2024-01-19T14:13:04Z</dcterms:created>
  <dcterms:modified xsi:type="dcterms:W3CDTF">2024-01-19T14:13:04Z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2023-12-20T00:00:00Z</vt:filetime>
  </property>
  <property fmtid="{D5CDD505-2E9C-101B-9397-08002B2CF9AE}" pid="3" name="Creator">
    <vt:lpwstr>Adobe InDesign 19.0 (Windows)</vt:lpwstr>
  </property>
  <property fmtid="{D5CDD505-2E9C-101B-9397-08002B2CF9AE}" pid="4" name="LastSaved">
    <vt:filetime>2024-01-19T00:00:00Z</vt:filetime>
  </property>
  <property fmtid="{D5CDD505-2E9C-101B-9397-08002B2CF9AE}" pid="5" name="Producer">
    <vt:lpwstr>Adobe PDF Library 17.0</vt:lpwstr>
  </property>
</Properties>
</file>