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4062AF" w14:textId="3C682669" w:rsidR="001C4557" w:rsidRDefault="00A85D1D" w:rsidP="003C579F">
      <w:pPr>
        <w:keepNext/>
        <w:keepLines/>
        <w:spacing w:before="40" w:after="0" w:line="256" w:lineRule="auto"/>
        <w:jc w:val="right"/>
        <w:outlineLvl w:val="1"/>
        <w:rPr>
          <w:rFonts w:ascii="Arial" w:eastAsia="Times New Roman" w:hAnsi="Arial" w:cs="Arial"/>
          <w:b/>
          <w:bCs/>
          <w:color w:val="00B0F0"/>
          <w:sz w:val="32"/>
          <w:szCs w:val="32"/>
        </w:rPr>
      </w:pPr>
      <w:r>
        <w:rPr>
          <w:rFonts w:ascii="Arial" w:eastAsia="Times New Roman" w:hAnsi="Arial" w:cs="Arial"/>
          <w:b/>
          <w:bCs/>
          <w:noProof/>
          <w:color w:val="00B0F0"/>
          <w:sz w:val="32"/>
          <w:szCs w:val="32"/>
        </w:rPr>
        <w:drawing>
          <wp:anchor distT="0" distB="0" distL="114300" distR="114300" simplePos="0" relativeHeight="251661312" behindDoc="0" locked="0" layoutInCell="1" allowOverlap="1" wp14:anchorId="2A007021" wp14:editId="193EA5AC">
            <wp:simplePos x="0" y="0"/>
            <wp:positionH relativeFrom="column">
              <wp:posOffset>22860</wp:posOffset>
            </wp:positionH>
            <wp:positionV relativeFrom="paragraph">
              <wp:posOffset>-262890</wp:posOffset>
            </wp:positionV>
            <wp:extent cx="1760400" cy="1139931"/>
            <wp:effectExtent l="0" t="0" r="0" b="3175"/>
            <wp:wrapNone/>
            <wp:docPr id="163839755" name="Picture 1" descr="A blue cross with a fish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39755" name="Picture 1" descr="A blue cross with a fish in i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60400" cy="1139931"/>
                    </a:xfrm>
                    <a:prstGeom prst="rect">
                      <a:avLst/>
                    </a:prstGeom>
                  </pic:spPr>
                </pic:pic>
              </a:graphicData>
            </a:graphic>
          </wp:anchor>
        </w:drawing>
      </w:r>
    </w:p>
    <w:p w14:paraId="31F19609" w14:textId="0D7E5B49" w:rsidR="001C4557" w:rsidRDefault="001C4557" w:rsidP="003C579F">
      <w:pPr>
        <w:keepNext/>
        <w:keepLines/>
        <w:spacing w:before="40" w:after="0" w:line="256" w:lineRule="auto"/>
        <w:jc w:val="right"/>
        <w:outlineLvl w:val="1"/>
        <w:rPr>
          <w:rFonts w:ascii="Arial" w:eastAsia="Times New Roman" w:hAnsi="Arial" w:cs="Arial"/>
          <w:b/>
          <w:bCs/>
          <w:color w:val="00B0F0"/>
          <w:sz w:val="32"/>
          <w:szCs w:val="32"/>
        </w:rPr>
      </w:pPr>
    </w:p>
    <w:p w14:paraId="6CDA3664" w14:textId="77777777" w:rsidR="001C4557" w:rsidRDefault="001C4557" w:rsidP="003C579F">
      <w:pPr>
        <w:keepNext/>
        <w:keepLines/>
        <w:spacing w:before="40" w:after="0" w:line="256" w:lineRule="auto"/>
        <w:jc w:val="right"/>
        <w:outlineLvl w:val="1"/>
        <w:rPr>
          <w:rFonts w:ascii="Arial" w:eastAsia="Times New Roman" w:hAnsi="Arial" w:cs="Arial"/>
          <w:b/>
          <w:bCs/>
          <w:color w:val="00B0F0"/>
          <w:sz w:val="32"/>
          <w:szCs w:val="32"/>
        </w:rPr>
      </w:pPr>
    </w:p>
    <w:p w14:paraId="76566B9E" w14:textId="77777777" w:rsidR="001C4557" w:rsidRDefault="001C4557" w:rsidP="001C4557">
      <w:pPr>
        <w:keepNext/>
        <w:keepLines/>
        <w:spacing w:before="40" w:after="0" w:line="256" w:lineRule="auto"/>
        <w:jc w:val="center"/>
        <w:outlineLvl w:val="1"/>
        <w:rPr>
          <w:rFonts w:ascii="Arial" w:eastAsia="Times New Roman" w:hAnsi="Arial" w:cs="Arial"/>
          <w:b/>
          <w:bCs/>
          <w:color w:val="00B0F0"/>
          <w:sz w:val="32"/>
          <w:szCs w:val="32"/>
        </w:rPr>
      </w:pPr>
    </w:p>
    <w:p w14:paraId="33899BF5" w14:textId="6C6B7AFD" w:rsidR="00D34418" w:rsidRPr="001C4557" w:rsidRDefault="00D34418" w:rsidP="001C4557">
      <w:pPr>
        <w:keepNext/>
        <w:keepLines/>
        <w:spacing w:before="40" w:after="0" w:line="256" w:lineRule="auto"/>
        <w:jc w:val="center"/>
        <w:outlineLvl w:val="1"/>
        <w:rPr>
          <w:rFonts w:ascii="Arial" w:eastAsia="Times New Roman" w:hAnsi="Arial" w:cs="Arial"/>
          <w:b/>
          <w:bCs/>
          <w:color w:val="387ED5"/>
          <w:sz w:val="32"/>
          <w:szCs w:val="32"/>
        </w:rPr>
      </w:pPr>
      <w:r w:rsidRPr="001C4557">
        <w:rPr>
          <w:rFonts w:ascii="Arial" w:eastAsia="Times New Roman" w:hAnsi="Arial" w:cs="Arial"/>
          <w:b/>
          <w:bCs/>
          <w:color w:val="00B0F0"/>
          <w:sz w:val="32"/>
          <w:szCs w:val="32"/>
        </w:rPr>
        <w:t xml:space="preserve">Resources Committee Terms </w:t>
      </w:r>
      <w:r w:rsidR="00D456DB" w:rsidRPr="001C4557">
        <w:rPr>
          <w:rFonts w:ascii="Arial" w:hAnsi="Arial" w:cs="Arial"/>
          <w:b/>
          <w:bCs/>
          <w:color w:val="00B0F0"/>
          <w:sz w:val="32"/>
          <w:szCs w:val="32"/>
        </w:rPr>
        <w:t xml:space="preserve">of </w:t>
      </w:r>
      <w:r w:rsidRPr="001C4557">
        <w:rPr>
          <w:rFonts w:ascii="Arial" w:eastAsia="Times New Roman" w:hAnsi="Arial" w:cs="Arial"/>
          <w:b/>
          <w:bCs/>
          <w:color w:val="00B0F0"/>
          <w:sz w:val="32"/>
          <w:szCs w:val="32"/>
        </w:rPr>
        <w:t>Reference</w:t>
      </w:r>
    </w:p>
    <w:p w14:paraId="4E6ACF8E" w14:textId="77777777" w:rsidR="003C579F" w:rsidRPr="00D456DB" w:rsidRDefault="003C579F" w:rsidP="00D34418">
      <w:pPr>
        <w:keepNext/>
        <w:keepLines/>
        <w:spacing w:before="40" w:after="0" w:line="256" w:lineRule="auto"/>
        <w:outlineLvl w:val="1"/>
        <w:rPr>
          <w:rFonts w:ascii="Arial" w:eastAsia="Times New Roman" w:hAnsi="Arial" w:cs="Arial"/>
          <w:b/>
          <w:bCs/>
          <w:color w:val="2F5496"/>
        </w:rPr>
      </w:pPr>
    </w:p>
    <w:tbl>
      <w:tblPr>
        <w:tblStyle w:val="TableGrid1"/>
        <w:tblW w:w="9526" w:type="dxa"/>
        <w:tblInd w:w="0" w:type="dxa"/>
        <w:tblCellMar>
          <w:top w:w="142" w:type="dxa"/>
          <w:bottom w:w="142" w:type="dxa"/>
        </w:tblCellMar>
        <w:tblLook w:val="04A0" w:firstRow="1" w:lastRow="0" w:firstColumn="1" w:lastColumn="0" w:noHBand="0" w:noVBand="1"/>
      </w:tblPr>
      <w:tblGrid>
        <w:gridCol w:w="2518"/>
        <w:gridCol w:w="7008"/>
      </w:tblGrid>
      <w:tr w:rsidR="00D34418" w:rsidRPr="00D34418" w14:paraId="0E15C45B"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4130D188" w14:textId="77777777" w:rsidR="00D34418" w:rsidRPr="00B06153" w:rsidRDefault="00D34418" w:rsidP="00B06153">
            <w:pPr>
              <w:spacing w:line="312" w:lineRule="auto"/>
              <w:rPr>
                <w:rFonts w:ascii="Arial" w:eastAsia="Times New Roman" w:hAnsi="Arial" w:cs="Arial"/>
                <w:b/>
                <w:bCs/>
                <w:color w:val="000000" w:themeColor="text1"/>
                <w:sz w:val="24"/>
                <w:szCs w:val="24"/>
              </w:rPr>
            </w:pPr>
            <w:r w:rsidRPr="00B06153">
              <w:rPr>
                <w:rFonts w:ascii="Arial" w:eastAsia="Times New Roman" w:hAnsi="Arial" w:cs="Arial"/>
                <w:b/>
                <w:bCs/>
                <w:color w:val="000000" w:themeColor="text1"/>
                <w:kern w:val="0"/>
                <w:sz w:val="24"/>
                <w:szCs w:val="24"/>
                <w14:ligatures w14:val="none"/>
              </w:rPr>
              <w:t>Committee</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08E32BD8"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Resources Committee</w:t>
            </w:r>
          </w:p>
        </w:tc>
      </w:tr>
      <w:tr w:rsidR="00D34418" w:rsidRPr="00D34418" w14:paraId="1481E4D9"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741A8416"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Convenor</w:t>
            </w:r>
          </w:p>
        </w:tc>
        <w:tc>
          <w:tcPr>
            <w:tcW w:w="7257" w:type="dxa"/>
            <w:tcBorders>
              <w:top w:val="single" w:sz="4" w:space="0" w:color="auto"/>
              <w:left w:val="single" w:sz="4" w:space="0" w:color="auto"/>
              <w:bottom w:val="single" w:sz="4" w:space="0" w:color="auto"/>
              <w:right w:val="single" w:sz="4" w:space="0" w:color="auto"/>
            </w:tcBorders>
            <w:hideMark/>
          </w:tcPr>
          <w:p w14:paraId="384A4690"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 xml:space="preserve">Appointed by General Assembly </w:t>
            </w:r>
          </w:p>
        </w:tc>
      </w:tr>
      <w:tr w:rsidR="00D34418" w:rsidRPr="00D34418" w14:paraId="776E57E1"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563506D6"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Secretary</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4B542DD0"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Chief Operating Officer (COO)</w:t>
            </w:r>
          </w:p>
        </w:tc>
      </w:tr>
      <w:tr w:rsidR="00D34418" w:rsidRPr="00D34418" w14:paraId="356A91B4"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5F2E5257"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Ex Officio Members</w:t>
            </w:r>
          </w:p>
        </w:tc>
        <w:tc>
          <w:tcPr>
            <w:tcW w:w="7257" w:type="dxa"/>
            <w:tcBorders>
              <w:top w:val="single" w:sz="4" w:space="0" w:color="auto"/>
              <w:left w:val="single" w:sz="4" w:space="0" w:color="auto"/>
              <w:bottom w:val="single" w:sz="4" w:space="0" w:color="auto"/>
              <w:right w:val="single" w:sz="4" w:space="0" w:color="auto"/>
            </w:tcBorders>
            <w:hideMark/>
          </w:tcPr>
          <w:p w14:paraId="0F19BA56"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Treasurer</w:t>
            </w:r>
          </w:p>
          <w:p w14:paraId="690E29D7"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Deputy Treasurer</w:t>
            </w:r>
          </w:p>
          <w:p w14:paraId="5F680A93"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Chief Finance Officer (CFO)</w:t>
            </w:r>
          </w:p>
        </w:tc>
      </w:tr>
      <w:tr w:rsidR="00D34418" w:rsidRPr="00D34418" w14:paraId="6D19C487"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54647A3C"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General Assembly Appointed Members</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2DB23374" w14:textId="69F47316" w:rsidR="00D34418" w:rsidRDefault="001C4557" w:rsidP="00B06153">
            <w:pPr>
              <w:spacing w:line="312"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Six</w:t>
            </w:r>
            <w:r w:rsidR="00D34418" w:rsidRPr="00D34418">
              <w:rPr>
                <w:rFonts w:ascii="Arial" w:eastAsia="Times New Roman" w:hAnsi="Arial" w:cs="Arial"/>
                <w:kern w:val="0"/>
                <w:sz w:val="24"/>
                <w:szCs w:val="24"/>
                <w14:ligatures w14:val="none"/>
              </w:rPr>
              <w:t xml:space="preserve"> members with collective experience of finance, properties, HR, compliance, and communications. Ideally representing those skills areas as follows: Finance (2), HR (1), Properties (1), Communications (1) and compliance/health and safety/ GDPR (1).</w:t>
            </w:r>
          </w:p>
          <w:p w14:paraId="3F27E5B9" w14:textId="77777777" w:rsidR="00ED7FE3" w:rsidRPr="00D34418" w:rsidRDefault="00ED7FE3" w:rsidP="00B06153">
            <w:pPr>
              <w:spacing w:line="312" w:lineRule="auto"/>
              <w:rPr>
                <w:rFonts w:ascii="Arial" w:eastAsia="Times New Roman" w:hAnsi="Arial" w:cs="Arial"/>
                <w:kern w:val="0"/>
                <w:sz w:val="24"/>
                <w:szCs w:val="24"/>
                <w14:ligatures w14:val="none"/>
              </w:rPr>
            </w:pPr>
          </w:p>
          <w:p w14:paraId="286CB2F2"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At least one such member to be a director of the URC Trust.</w:t>
            </w:r>
          </w:p>
        </w:tc>
      </w:tr>
      <w:tr w:rsidR="00D34418" w:rsidRPr="00D34418" w14:paraId="3E015186"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10956E59" w14:textId="6FDC5EC4"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 xml:space="preserve">Length of </w:t>
            </w:r>
            <w:r w:rsidR="001C4557">
              <w:rPr>
                <w:rFonts w:ascii="Arial" w:eastAsia="Times New Roman" w:hAnsi="Arial" w:cs="Arial"/>
                <w:b/>
                <w:bCs/>
                <w:color w:val="000000" w:themeColor="text1"/>
                <w:kern w:val="0"/>
                <w:sz w:val="24"/>
                <w:szCs w:val="24"/>
                <w14:ligatures w14:val="none"/>
              </w:rPr>
              <w:t>t</w:t>
            </w:r>
            <w:r w:rsidRPr="00B06153">
              <w:rPr>
                <w:rFonts w:ascii="Arial" w:eastAsia="Times New Roman" w:hAnsi="Arial" w:cs="Arial"/>
                <w:b/>
                <w:bCs/>
                <w:color w:val="000000" w:themeColor="text1"/>
                <w:kern w:val="0"/>
                <w:sz w:val="24"/>
                <w:szCs w:val="24"/>
                <w14:ligatures w14:val="none"/>
              </w:rPr>
              <w:t>erm</w:t>
            </w:r>
          </w:p>
        </w:tc>
        <w:tc>
          <w:tcPr>
            <w:tcW w:w="7257" w:type="dxa"/>
            <w:tcBorders>
              <w:top w:val="single" w:sz="4" w:space="0" w:color="auto"/>
              <w:left w:val="single" w:sz="4" w:space="0" w:color="auto"/>
              <w:bottom w:val="single" w:sz="4" w:space="0" w:color="auto"/>
              <w:right w:val="single" w:sz="4" w:space="0" w:color="auto"/>
            </w:tcBorders>
            <w:hideMark/>
          </w:tcPr>
          <w:p w14:paraId="4FB7172F" w14:textId="6A7ECEC0"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 xml:space="preserve">Initial term of </w:t>
            </w:r>
            <w:r w:rsidR="001C4557">
              <w:rPr>
                <w:rFonts w:ascii="Arial" w:eastAsia="Times New Roman" w:hAnsi="Arial" w:cs="Arial"/>
                <w:kern w:val="0"/>
                <w:sz w:val="24"/>
                <w:szCs w:val="24"/>
                <w14:ligatures w14:val="none"/>
              </w:rPr>
              <w:t>four</w:t>
            </w:r>
            <w:r w:rsidRPr="00D34418">
              <w:rPr>
                <w:rFonts w:ascii="Arial" w:eastAsia="Times New Roman" w:hAnsi="Arial" w:cs="Arial"/>
                <w:kern w:val="0"/>
                <w:sz w:val="24"/>
                <w:szCs w:val="24"/>
                <w14:ligatures w14:val="none"/>
              </w:rPr>
              <w:t xml:space="preserve"> years</w:t>
            </w:r>
            <w:r w:rsidR="001C4557">
              <w:rPr>
                <w:rFonts w:ascii="Arial" w:eastAsia="Times New Roman" w:hAnsi="Arial" w:cs="Arial"/>
                <w:kern w:val="0"/>
                <w:sz w:val="24"/>
                <w:szCs w:val="24"/>
                <w14:ligatures w14:val="none"/>
              </w:rPr>
              <w:t>,</w:t>
            </w:r>
            <w:r w:rsidRPr="00D34418">
              <w:rPr>
                <w:rFonts w:ascii="Arial" w:eastAsia="Times New Roman" w:hAnsi="Arial" w:cs="Arial"/>
                <w:kern w:val="0"/>
                <w:sz w:val="24"/>
                <w:szCs w:val="24"/>
                <w14:ligatures w14:val="none"/>
              </w:rPr>
              <w:t xml:space="preserve"> which may be extended by up to </w:t>
            </w:r>
            <w:r w:rsidR="00A638DA">
              <w:rPr>
                <w:rFonts w:ascii="Arial" w:eastAsia="Times New Roman" w:hAnsi="Arial" w:cs="Arial"/>
                <w:kern w:val="0"/>
                <w:sz w:val="24"/>
                <w:szCs w:val="24"/>
                <w14:ligatures w14:val="none"/>
              </w:rPr>
              <w:br/>
            </w:r>
            <w:r w:rsidRPr="00D34418">
              <w:rPr>
                <w:rFonts w:ascii="Arial" w:eastAsia="Times New Roman" w:hAnsi="Arial" w:cs="Arial"/>
                <w:kern w:val="0"/>
                <w:sz w:val="24"/>
                <w:szCs w:val="24"/>
                <w14:ligatures w14:val="none"/>
              </w:rPr>
              <w:t>two years</w:t>
            </w:r>
          </w:p>
        </w:tc>
      </w:tr>
      <w:tr w:rsidR="00D34418" w:rsidRPr="00D34418" w14:paraId="6D033ED5"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53A1474A" w14:textId="012C8F48"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 xml:space="preserve">In </w:t>
            </w:r>
            <w:r w:rsidR="001C4557">
              <w:rPr>
                <w:rFonts w:ascii="Arial" w:eastAsia="Times New Roman" w:hAnsi="Arial" w:cs="Arial"/>
                <w:b/>
                <w:bCs/>
                <w:color w:val="000000" w:themeColor="text1"/>
                <w:kern w:val="0"/>
                <w:sz w:val="24"/>
                <w:szCs w:val="24"/>
                <w14:ligatures w14:val="none"/>
              </w:rPr>
              <w:t>a</w:t>
            </w:r>
            <w:r w:rsidRPr="00B06153">
              <w:rPr>
                <w:rFonts w:ascii="Arial" w:eastAsia="Times New Roman" w:hAnsi="Arial" w:cs="Arial"/>
                <w:b/>
                <w:bCs/>
                <w:color w:val="000000" w:themeColor="text1"/>
                <w:kern w:val="0"/>
                <w:sz w:val="24"/>
                <w:szCs w:val="24"/>
                <w14:ligatures w14:val="none"/>
              </w:rPr>
              <w:t>ttendance when required (to cover their areas of expertise)</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6D38B1E7" w14:textId="77777777"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Head of Communications (and other team members as required)</w:t>
            </w:r>
          </w:p>
          <w:p w14:paraId="330DEAD2" w14:textId="77777777"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Compliance Officer</w:t>
            </w:r>
          </w:p>
          <w:p w14:paraId="37F65687" w14:textId="4FA9B1D5"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 xml:space="preserve">Archive </w:t>
            </w:r>
            <w:r w:rsidR="001C4557">
              <w:rPr>
                <w:rFonts w:ascii="Arial" w:eastAsia="Times New Roman" w:hAnsi="Arial" w:cs="Arial"/>
                <w:kern w:val="0"/>
                <w:sz w:val="24"/>
                <w:szCs w:val="24"/>
                <w14:ligatures w14:val="none"/>
              </w:rPr>
              <w:t>and</w:t>
            </w:r>
            <w:r w:rsidRPr="00ED7FE3">
              <w:rPr>
                <w:rFonts w:ascii="Arial" w:eastAsia="Times New Roman" w:hAnsi="Arial" w:cs="Arial"/>
                <w:kern w:val="0"/>
                <w:sz w:val="24"/>
                <w:szCs w:val="24"/>
                <w14:ligatures w14:val="none"/>
              </w:rPr>
              <w:t xml:space="preserve"> Records Manager</w:t>
            </w:r>
          </w:p>
          <w:p w14:paraId="00624387" w14:textId="77777777"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Facilities Manager</w:t>
            </w:r>
          </w:p>
          <w:p w14:paraId="54C53449" w14:textId="77777777"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Human Resources Officer</w:t>
            </w:r>
          </w:p>
          <w:p w14:paraId="2C73AEBC" w14:textId="552C22A3" w:rsidR="00D34418" w:rsidRPr="00ED7FE3" w:rsidRDefault="00D34418" w:rsidP="00ED7FE3">
            <w:pPr>
              <w:pStyle w:val="ListParagraph"/>
              <w:numPr>
                <w:ilvl w:val="0"/>
                <w:numId w:val="5"/>
              </w:num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IT Manager</w:t>
            </w:r>
          </w:p>
        </w:tc>
      </w:tr>
      <w:tr w:rsidR="00D34418" w:rsidRPr="00D34418" w14:paraId="29D2C754"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308E57BB"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Minute Secretary</w:t>
            </w:r>
          </w:p>
        </w:tc>
        <w:tc>
          <w:tcPr>
            <w:tcW w:w="7257" w:type="dxa"/>
            <w:tcBorders>
              <w:top w:val="single" w:sz="4" w:space="0" w:color="auto"/>
              <w:left w:val="single" w:sz="4" w:space="0" w:color="auto"/>
              <w:bottom w:val="single" w:sz="4" w:space="0" w:color="auto"/>
              <w:right w:val="single" w:sz="4" w:space="0" w:color="auto"/>
            </w:tcBorders>
            <w:hideMark/>
          </w:tcPr>
          <w:p w14:paraId="5FC87F91" w14:textId="0FFDD4E8"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 xml:space="preserve">PA to COO </w:t>
            </w:r>
            <w:r w:rsidR="001C4557">
              <w:rPr>
                <w:rFonts w:ascii="Arial" w:eastAsia="Times New Roman" w:hAnsi="Arial" w:cs="Arial"/>
                <w:kern w:val="0"/>
                <w:sz w:val="24"/>
                <w:szCs w:val="24"/>
                <w14:ligatures w14:val="none"/>
              </w:rPr>
              <w:t>and</w:t>
            </w:r>
            <w:r w:rsidRPr="00D34418">
              <w:rPr>
                <w:rFonts w:ascii="Arial" w:eastAsia="Times New Roman" w:hAnsi="Arial" w:cs="Arial"/>
                <w:kern w:val="0"/>
                <w:sz w:val="24"/>
                <w:szCs w:val="24"/>
                <w14:ligatures w14:val="none"/>
              </w:rPr>
              <w:t xml:space="preserve"> CFO</w:t>
            </w:r>
          </w:p>
        </w:tc>
      </w:tr>
      <w:tr w:rsidR="00D34418" w:rsidRPr="00D34418" w14:paraId="705C0BF6"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16359957" w14:textId="2A56EB51"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lastRenderedPageBreak/>
              <w:t xml:space="preserve">Meeting </w:t>
            </w:r>
            <w:r w:rsidR="001C4557">
              <w:rPr>
                <w:rFonts w:ascii="Arial" w:eastAsia="Times New Roman" w:hAnsi="Arial" w:cs="Arial"/>
                <w:b/>
                <w:bCs/>
                <w:color w:val="000000" w:themeColor="text1"/>
                <w:kern w:val="0"/>
                <w:sz w:val="24"/>
                <w:szCs w:val="24"/>
                <w14:ligatures w14:val="none"/>
              </w:rPr>
              <w:t>f</w:t>
            </w:r>
            <w:r w:rsidRPr="00B06153">
              <w:rPr>
                <w:rFonts w:ascii="Arial" w:eastAsia="Times New Roman" w:hAnsi="Arial" w:cs="Arial"/>
                <w:b/>
                <w:bCs/>
                <w:color w:val="000000" w:themeColor="text1"/>
                <w:kern w:val="0"/>
                <w:sz w:val="24"/>
                <w:szCs w:val="24"/>
                <w14:ligatures w14:val="none"/>
              </w:rPr>
              <w:t>requency</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21485E72" w14:textId="172E7ECB" w:rsidR="00D34418" w:rsidRPr="00D34418" w:rsidRDefault="001C4557" w:rsidP="00B06153">
            <w:pPr>
              <w:spacing w:line="312" w:lineRule="auto"/>
              <w:rPr>
                <w:rFonts w:ascii="Arial" w:eastAsia="Times New Roman" w:hAnsi="Arial" w:cs="Arial"/>
                <w:kern w:val="0"/>
                <w:sz w:val="24"/>
                <w:szCs w:val="24"/>
                <w14:ligatures w14:val="none"/>
              </w:rPr>
            </w:pPr>
            <w:r>
              <w:rPr>
                <w:rFonts w:ascii="Arial" w:eastAsia="Times New Roman" w:hAnsi="Arial" w:cs="Arial"/>
                <w:kern w:val="0"/>
                <w:sz w:val="24"/>
                <w:szCs w:val="24"/>
                <w14:ligatures w14:val="none"/>
              </w:rPr>
              <w:t>Six</w:t>
            </w:r>
            <w:r w:rsidR="00D34418" w:rsidRPr="00D34418">
              <w:rPr>
                <w:rFonts w:ascii="Arial" w:eastAsia="Times New Roman" w:hAnsi="Arial" w:cs="Arial"/>
                <w:kern w:val="0"/>
                <w:sz w:val="24"/>
                <w:szCs w:val="24"/>
                <w14:ligatures w14:val="none"/>
              </w:rPr>
              <w:t xml:space="preserve"> times per annum (c 21 hours) </w:t>
            </w:r>
          </w:p>
        </w:tc>
      </w:tr>
      <w:tr w:rsidR="00D34418" w:rsidRPr="00D34418" w14:paraId="70365477"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1643C053" w14:textId="1E67D21C"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Subgroups/</w:t>
            </w:r>
            <w:r w:rsidR="001C4557">
              <w:rPr>
                <w:rFonts w:ascii="Arial" w:eastAsia="Times New Roman" w:hAnsi="Arial" w:cs="Arial"/>
                <w:b/>
                <w:bCs/>
                <w:color w:val="000000" w:themeColor="text1"/>
                <w:kern w:val="0"/>
                <w:sz w:val="24"/>
                <w:szCs w:val="24"/>
                <w14:ligatures w14:val="none"/>
              </w:rPr>
              <w:t>s</w:t>
            </w:r>
            <w:r w:rsidRPr="00B06153">
              <w:rPr>
                <w:rFonts w:ascii="Arial" w:eastAsia="Times New Roman" w:hAnsi="Arial" w:cs="Arial"/>
                <w:b/>
                <w:bCs/>
                <w:color w:val="000000" w:themeColor="text1"/>
                <w:kern w:val="0"/>
                <w:sz w:val="24"/>
                <w:szCs w:val="24"/>
                <w14:ligatures w14:val="none"/>
              </w:rPr>
              <w:t>ub committees</w:t>
            </w:r>
          </w:p>
        </w:tc>
        <w:tc>
          <w:tcPr>
            <w:tcW w:w="7257" w:type="dxa"/>
            <w:tcBorders>
              <w:top w:val="single" w:sz="4" w:space="0" w:color="auto"/>
              <w:left w:val="single" w:sz="4" w:space="0" w:color="auto"/>
              <w:bottom w:val="single" w:sz="4" w:space="0" w:color="auto"/>
              <w:right w:val="single" w:sz="4" w:space="0" w:color="auto"/>
            </w:tcBorders>
            <w:hideMark/>
          </w:tcPr>
          <w:p w14:paraId="4035EF9E" w14:textId="5006F4D4"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 xml:space="preserve">Pensions Committee, Remuneration Committee </w:t>
            </w:r>
            <w:r w:rsidR="001C4557">
              <w:rPr>
                <w:rFonts w:ascii="Arial" w:eastAsia="Times New Roman" w:hAnsi="Arial" w:cs="Arial"/>
                <w:kern w:val="0"/>
                <w:sz w:val="24"/>
                <w:szCs w:val="24"/>
                <w14:ligatures w14:val="none"/>
              </w:rPr>
              <w:t>and</w:t>
            </w:r>
            <w:r w:rsidRPr="00D34418">
              <w:rPr>
                <w:rFonts w:ascii="Arial" w:eastAsia="Times New Roman" w:hAnsi="Arial" w:cs="Arial"/>
                <w:kern w:val="0"/>
                <w:sz w:val="24"/>
                <w:szCs w:val="24"/>
                <w14:ligatures w14:val="none"/>
              </w:rPr>
              <w:t xml:space="preserve"> Legacy Fund Panel</w:t>
            </w:r>
          </w:p>
        </w:tc>
      </w:tr>
      <w:tr w:rsidR="00D34418" w:rsidRPr="00D34418" w14:paraId="3C126720"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6F5351CA" w14:textId="777777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Quoracy</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6A759643" w14:textId="1939978A"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Four members to always include the Treasurer or Deputy Treasurer</w:t>
            </w:r>
          </w:p>
        </w:tc>
      </w:tr>
      <w:tr w:rsidR="00D34418" w:rsidRPr="00D34418" w14:paraId="42C9021B" w14:textId="77777777" w:rsidTr="00B06153">
        <w:trPr>
          <w:trHeight w:val="612"/>
        </w:trPr>
        <w:tc>
          <w:tcPr>
            <w:tcW w:w="2547" w:type="dxa"/>
            <w:tcBorders>
              <w:top w:val="single" w:sz="4" w:space="0" w:color="auto"/>
              <w:left w:val="single" w:sz="4" w:space="0" w:color="auto"/>
              <w:bottom w:val="single" w:sz="4" w:space="0" w:color="auto"/>
              <w:right w:val="single" w:sz="4" w:space="0" w:color="auto"/>
            </w:tcBorders>
            <w:hideMark/>
          </w:tcPr>
          <w:p w14:paraId="290B07D9" w14:textId="372F6254"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 xml:space="preserve">Accountability </w:t>
            </w:r>
            <w:r w:rsidR="001C4557">
              <w:rPr>
                <w:rFonts w:ascii="Arial" w:eastAsia="Times New Roman" w:hAnsi="Arial" w:cs="Arial"/>
                <w:b/>
                <w:bCs/>
                <w:color w:val="000000" w:themeColor="text1"/>
                <w:kern w:val="0"/>
                <w:sz w:val="24"/>
                <w:szCs w:val="24"/>
                <w14:ligatures w14:val="none"/>
              </w:rPr>
              <w:t>and</w:t>
            </w:r>
            <w:r w:rsidRPr="00B06153">
              <w:rPr>
                <w:rFonts w:ascii="Arial" w:eastAsia="Times New Roman" w:hAnsi="Arial" w:cs="Arial"/>
                <w:b/>
                <w:bCs/>
                <w:color w:val="000000" w:themeColor="text1"/>
                <w:kern w:val="0"/>
                <w:sz w:val="24"/>
                <w:szCs w:val="24"/>
                <w14:ligatures w14:val="none"/>
              </w:rPr>
              <w:t xml:space="preserve"> </w:t>
            </w:r>
            <w:r w:rsidR="001C4557">
              <w:rPr>
                <w:rFonts w:ascii="Arial" w:eastAsia="Times New Roman" w:hAnsi="Arial" w:cs="Arial"/>
                <w:b/>
                <w:bCs/>
                <w:color w:val="000000" w:themeColor="text1"/>
                <w:kern w:val="0"/>
                <w:sz w:val="24"/>
                <w:szCs w:val="24"/>
                <w14:ligatures w14:val="none"/>
              </w:rPr>
              <w:t>r</w:t>
            </w:r>
            <w:r w:rsidRPr="00B06153">
              <w:rPr>
                <w:rFonts w:ascii="Arial" w:eastAsia="Times New Roman" w:hAnsi="Arial" w:cs="Arial"/>
                <w:b/>
                <w:bCs/>
                <w:color w:val="000000" w:themeColor="text1"/>
                <w:kern w:val="0"/>
                <w:sz w:val="24"/>
                <w:szCs w:val="24"/>
                <w14:ligatures w14:val="none"/>
              </w:rPr>
              <w:t xml:space="preserve">eporting </w:t>
            </w:r>
            <w:r w:rsidR="001C4557">
              <w:rPr>
                <w:rFonts w:ascii="Arial" w:eastAsia="Times New Roman" w:hAnsi="Arial" w:cs="Arial"/>
                <w:b/>
                <w:bCs/>
                <w:color w:val="000000" w:themeColor="text1"/>
                <w:kern w:val="0"/>
                <w:sz w:val="24"/>
                <w:szCs w:val="24"/>
                <w14:ligatures w14:val="none"/>
              </w:rPr>
              <w:t>d</w:t>
            </w:r>
            <w:r w:rsidRPr="00B06153">
              <w:rPr>
                <w:rFonts w:ascii="Arial" w:eastAsia="Times New Roman" w:hAnsi="Arial" w:cs="Arial"/>
                <w:b/>
                <w:bCs/>
                <w:color w:val="000000" w:themeColor="text1"/>
                <w:kern w:val="0"/>
                <w:sz w:val="24"/>
                <w:szCs w:val="24"/>
                <w14:ligatures w14:val="none"/>
              </w:rPr>
              <w:t>uties</w:t>
            </w:r>
          </w:p>
        </w:tc>
        <w:tc>
          <w:tcPr>
            <w:tcW w:w="7257" w:type="dxa"/>
            <w:tcBorders>
              <w:top w:val="single" w:sz="4" w:space="0" w:color="auto"/>
              <w:left w:val="single" w:sz="4" w:space="0" w:color="auto"/>
              <w:bottom w:val="single" w:sz="4" w:space="0" w:color="auto"/>
              <w:right w:val="single" w:sz="4" w:space="0" w:color="auto"/>
            </w:tcBorders>
          </w:tcPr>
          <w:p w14:paraId="2738E5C7" w14:textId="6B7627B4" w:rsidR="00D34418" w:rsidRPr="00ED7FE3" w:rsidRDefault="00D34418" w:rsidP="00B06153">
            <w:p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 xml:space="preserve">General Assembly (Communications </w:t>
            </w:r>
            <w:r w:rsidR="001C4557">
              <w:rPr>
                <w:rFonts w:ascii="Arial" w:eastAsia="Times New Roman" w:hAnsi="Arial" w:cs="Arial"/>
                <w:kern w:val="0"/>
                <w:sz w:val="24"/>
                <w:szCs w:val="24"/>
                <w14:ligatures w14:val="none"/>
              </w:rPr>
              <w:t>and</w:t>
            </w:r>
            <w:r w:rsidRPr="00ED7FE3">
              <w:rPr>
                <w:rFonts w:ascii="Arial" w:eastAsia="Times New Roman" w:hAnsi="Arial" w:cs="Arial"/>
                <w:kern w:val="0"/>
                <w:sz w:val="24"/>
                <w:szCs w:val="24"/>
                <w14:ligatures w14:val="none"/>
              </w:rPr>
              <w:t xml:space="preserve"> Finance) and United Reformed Church Trust (properties, compliance, employment and finance).  </w:t>
            </w:r>
          </w:p>
          <w:p w14:paraId="4CD3C3E1" w14:textId="77777777" w:rsidR="00D34418" w:rsidRPr="00ED7FE3" w:rsidRDefault="00D34418" w:rsidP="00B06153">
            <w:pPr>
              <w:spacing w:line="312" w:lineRule="auto"/>
              <w:rPr>
                <w:rFonts w:ascii="Arial" w:eastAsia="Times New Roman" w:hAnsi="Arial" w:cs="Arial"/>
                <w:kern w:val="0"/>
                <w:sz w:val="24"/>
                <w:szCs w:val="24"/>
                <w14:ligatures w14:val="none"/>
              </w:rPr>
            </w:pPr>
          </w:p>
          <w:p w14:paraId="730E7E9A" w14:textId="77777777" w:rsidR="00D34418" w:rsidRPr="00ED7FE3" w:rsidRDefault="00D34418" w:rsidP="00B06153">
            <w:p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The Committee will provide an update report to each meeting of the URC Trust.</w:t>
            </w:r>
          </w:p>
          <w:p w14:paraId="0E1BE16B" w14:textId="77777777" w:rsidR="00D34418" w:rsidRPr="00ED7FE3" w:rsidRDefault="00D34418" w:rsidP="00B06153">
            <w:pPr>
              <w:spacing w:line="312" w:lineRule="auto"/>
              <w:rPr>
                <w:rFonts w:ascii="Arial" w:eastAsia="Times New Roman" w:hAnsi="Arial" w:cs="Arial"/>
                <w:kern w:val="0"/>
                <w:sz w:val="24"/>
                <w:szCs w:val="24"/>
                <w14:ligatures w14:val="none"/>
              </w:rPr>
            </w:pPr>
          </w:p>
          <w:p w14:paraId="5EA388EE" w14:textId="77777777" w:rsidR="00D34418" w:rsidRPr="00D34418" w:rsidRDefault="00D34418" w:rsidP="00B06153">
            <w:pPr>
              <w:spacing w:line="312" w:lineRule="auto"/>
              <w:rPr>
                <w:rFonts w:ascii="Arial" w:eastAsia="Times New Roman" w:hAnsi="Arial" w:cs="Arial"/>
                <w:kern w:val="0"/>
                <w:sz w:val="24"/>
                <w:szCs w:val="24"/>
                <w14:ligatures w14:val="none"/>
              </w:rPr>
            </w:pPr>
            <w:r w:rsidRPr="00ED7FE3">
              <w:rPr>
                <w:rFonts w:ascii="Arial" w:eastAsia="Times New Roman" w:hAnsi="Arial" w:cs="Arial"/>
                <w:kern w:val="0"/>
                <w:sz w:val="24"/>
                <w:szCs w:val="24"/>
                <w14:ligatures w14:val="none"/>
              </w:rPr>
              <w:t>Responsibility for the implementation of policies and decisions of the Resources Committee rests with those employees appointed by Church House to do so, and ultimately, the COO</w:t>
            </w:r>
            <w:r w:rsidRPr="00D34418">
              <w:rPr>
                <w:rFonts w:ascii="Arial" w:eastAsia="Times New Roman" w:hAnsi="Arial" w:cs="Arial"/>
                <w:kern w:val="0"/>
                <w:sz w:val="24"/>
                <w:szCs w:val="24"/>
                <w14:ligatures w14:val="none"/>
              </w:rPr>
              <w:t>.</w:t>
            </w:r>
          </w:p>
        </w:tc>
      </w:tr>
      <w:tr w:rsidR="00D34418" w:rsidRPr="00D34418" w14:paraId="6E6504F0" w14:textId="77777777" w:rsidTr="00ED7FE3">
        <w:trPr>
          <w:trHeight w:val="612"/>
        </w:trPr>
        <w:tc>
          <w:tcPr>
            <w:tcW w:w="2547" w:type="dxa"/>
            <w:tcBorders>
              <w:top w:val="single" w:sz="4" w:space="0" w:color="auto"/>
              <w:left w:val="single" w:sz="4" w:space="0" w:color="auto"/>
              <w:bottom w:val="single" w:sz="4" w:space="0" w:color="auto"/>
              <w:right w:val="single" w:sz="4" w:space="0" w:color="auto"/>
            </w:tcBorders>
            <w:shd w:val="clear" w:color="auto" w:fill="E9EEF7"/>
            <w:hideMark/>
          </w:tcPr>
          <w:p w14:paraId="34629203" w14:textId="27E4F277" w:rsidR="00D34418" w:rsidRPr="00B06153" w:rsidRDefault="00D34418" w:rsidP="00B06153">
            <w:pPr>
              <w:spacing w:line="312" w:lineRule="auto"/>
              <w:rPr>
                <w:rFonts w:ascii="Arial" w:eastAsia="Times New Roman" w:hAnsi="Arial" w:cs="Arial"/>
                <w:b/>
                <w:bCs/>
                <w:color w:val="000000" w:themeColor="text1"/>
                <w:kern w:val="0"/>
                <w:sz w:val="24"/>
                <w:szCs w:val="24"/>
                <w14:ligatures w14:val="none"/>
              </w:rPr>
            </w:pPr>
            <w:r w:rsidRPr="00B06153">
              <w:rPr>
                <w:rFonts w:ascii="Arial" w:eastAsia="Times New Roman" w:hAnsi="Arial" w:cs="Arial"/>
                <w:b/>
                <w:bCs/>
                <w:color w:val="000000" w:themeColor="text1"/>
                <w:kern w:val="0"/>
                <w:sz w:val="24"/>
                <w:szCs w:val="24"/>
                <w14:ligatures w14:val="none"/>
              </w:rPr>
              <w:t xml:space="preserve">Terms of Reference </w:t>
            </w:r>
            <w:r w:rsidR="001C4557">
              <w:rPr>
                <w:rFonts w:ascii="Arial" w:eastAsia="Times New Roman" w:hAnsi="Arial" w:cs="Arial"/>
                <w:b/>
                <w:bCs/>
                <w:color w:val="000000" w:themeColor="text1"/>
                <w:kern w:val="0"/>
                <w:sz w:val="24"/>
                <w:szCs w:val="24"/>
                <w14:ligatures w14:val="none"/>
              </w:rPr>
              <w:t>r</w:t>
            </w:r>
            <w:r w:rsidRPr="00B06153">
              <w:rPr>
                <w:rFonts w:ascii="Arial" w:eastAsia="Times New Roman" w:hAnsi="Arial" w:cs="Arial"/>
                <w:b/>
                <w:bCs/>
                <w:color w:val="000000" w:themeColor="text1"/>
                <w:kern w:val="0"/>
                <w:sz w:val="24"/>
                <w:szCs w:val="24"/>
                <w14:ligatures w14:val="none"/>
              </w:rPr>
              <w:t>eview</w:t>
            </w:r>
          </w:p>
        </w:tc>
        <w:tc>
          <w:tcPr>
            <w:tcW w:w="7257" w:type="dxa"/>
            <w:tcBorders>
              <w:top w:val="single" w:sz="4" w:space="0" w:color="auto"/>
              <w:left w:val="single" w:sz="4" w:space="0" w:color="auto"/>
              <w:bottom w:val="single" w:sz="4" w:space="0" w:color="auto"/>
              <w:right w:val="single" w:sz="4" w:space="0" w:color="auto"/>
            </w:tcBorders>
            <w:shd w:val="clear" w:color="auto" w:fill="E9EEF7"/>
            <w:hideMark/>
          </w:tcPr>
          <w:p w14:paraId="44884C84"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At least every four years, in consultation with the Trust.</w:t>
            </w:r>
          </w:p>
          <w:p w14:paraId="3BEC2C1C" w14:textId="77777777" w:rsidR="00D34418" w:rsidRPr="00D34418" w:rsidRDefault="00D34418" w:rsidP="00B06153">
            <w:pPr>
              <w:spacing w:line="312" w:lineRule="auto"/>
              <w:rPr>
                <w:rFonts w:ascii="Arial" w:eastAsia="Times New Roman" w:hAnsi="Arial" w:cs="Arial"/>
                <w:kern w:val="0"/>
                <w:sz w:val="24"/>
                <w:szCs w:val="24"/>
                <w14:ligatures w14:val="none"/>
              </w:rPr>
            </w:pPr>
            <w:r w:rsidRPr="00D34418">
              <w:rPr>
                <w:rFonts w:ascii="Arial" w:eastAsia="Times New Roman" w:hAnsi="Arial" w:cs="Arial"/>
                <w:kern w:val="0"/>
                <w:sz w:val="24"/>
                <w:szCs w:val="24"/>
                <w14:ligatures w14:val="none"/>
              </w:rPr>
              <w:t>In addition, a full review in consultation with the Trust and the operational team will take place 18 months after its first meeting to ensure its effectiveness.</w:t>
            </w:r>
          </w:p>
        </w:tc>
      </w:tr>
    </w:tbl>
    <w:p w14:paraId="347B5211" w14:textId="77777777" w:rsidR="00D34418" w:rsidRPr="00D34418" w:rsidRDefault="00D34418" w:rsidP="00D34418">
      <w:pPr>
        <w:spacing w:after="0" w:line="240" w:lineRule="auto"/>
        <w:rPr>
          <w:rFonts w:ascii="Arial" w:eastAsia="Times New Roman" w:hAnsi="Arial" w:cs="Arial"/>
          <w:color w:val="2F5496"/>
          <w:sz w:val="28"/>
          <w:szCs w:val="28"/>
        </w:rPr>
      </w:pPr>
    </w:p>
    <w:p w14:paraId="691B4A29" w14:textId="0784B2BF" w:rsidR="00B06153" w:rsidRDefault="00D34418" w:rsidP="00D34418">
      <w:pPr>
        <w:spacing w:after="0" w:line="240" w:lineRule="auto"/>
        <w:rPr>
          <w:rFonts w:ascii="Arial" w:eastAsia="Times New Roman" w:hAnsi="Arial" w:cs="Arial"/>
          <w:b/>
          <w:bCs/>
          <w:color w:val="00B0F0"/>
          <w:sz w:val="28"/>
          <w:szCs w:val="28"/>
        </w:rPr>
      </w:pPr>
      <w:r w:rsidRPr="001C4557">
        <w:rPr>
          <w:rFonts w:ascii="Arial" w:eastAsia="Times New Roman" w:hAnsi="Arial" w:cs="Arial"/>
          <w:b/>
          <w:bCs/>
          <w:color w:val="00B0F0"/>
          <w:sz w:val="28"/>
          <w:szCs w:val="28"/>
        </w:rPr>
        <w:t xml:space="preserve">Responsibilities </w:t>
      </w:r>
    </w:p>
    <w:p w14:paraId="09BEE5E0" w14:textId="77777777" w:rsidR="00A638DA" w:rsidRPr="00A638DA" w:rsidRDefault="00A638DA" w:rsidP="00D34418">
      <w:pPr>
        <w:spacing w:after="0" w:line="240" w:lineRule="auto"/>
        <w:rPr>
          <w:rFonts w:ascii="Arial" w:eastAsia="Times New Roman" w:hAnsi="Arial" w:cs="Arial"/>
          <w:b/>
          <w:bCs/>
          <w:color w:val="00B0F0"/>
          <w:sz w:val="28"/>
          <w:szCs w:val="28"/>
        </w:rPr>
      </w:pPr>
    </w:p>
    <w:p w14:paraId="23ABC338" w14:textId="77777777" w:rsidR="00D34418" w:rsidRDefault="00D34418" w:rsidP="00ED7FE3">
      <w:pPr>
        <w:spacing w:after="0" w:line="312" w:lineRule="auto"/>
        <w:rPr>
          <w:rFonts w:ascii="Arial" w:eastAsia="Calibri" w:hAnsi="Arial" w:cs="Arial"/>
          <w:sz w:val="24"/>
          <w:szCs w:val="24"/>
        </w:rPr>
      </w:pPr>
      <w:r w:rsidRPr="00D34418">
        <w:rPr>
          <w:rFonts w:ascii="Arial" w:eastAsia="Calibri" w:hAnsi="Arial" w:cs="Arial"/>
          <w:sz w:val="24"/>
          <w:szCs w:val="24"/>
        </w:rPr>
        <w:t xml:space="preserve">The Resources Committee (the Committee) has key responsibilities across a number of interlinked and interdependent operational areas. </w:t>
      </w:r>
    </w:p>
    <w:p w14:paraId="339A7439" w14:textId="77777777" w:rsidR="00ED7FE3" w:rsidRPr="00D34418" w:rsidRDefault="00ED7FE3" w:rsidP="00ED7FE3">
      <w:pPr>
        <w:spacing w:after="0" w:line="312" w:lineRule="auto"/>
        <w:rPr>
          <w:rFonts w:ascii="Arial" w:eastAsia="Calibri" w:hAnsi="Arial" w:cs="Arial"/>
          <w:sz w:val="24"/>
          <w:szCs w:val="24"/>
        </w:rPr>
      </w:pPr>
    </w:p>
    <w:p w14:paraId="0F6CF9EA" w14:textId="77777777" w:rsidR="00D34418" w:rsidRPr="001C4557" w:rsidRDefault="00D34418" w:rsidP="00ED7FE3">
      <w:pPr>
        <w:keepNext/>
        <w:keepLines/>
        <w:spacing w:after="0" w:line="312" w:lineRule="auto"/>
        <w:outlineLvl w:val="2"/>
        <w:rPr>
          <w:rFonts w:ascii="Arial" w:eastAsia="Times New Roman" w:hAnsi="Arial" w:cs="Arial"/>
          <w:b/>
          <w:bCs/>
          <w:color w:val="00B0F0"/>
          <w:sz w:val="24"/>
          <w:szCs w:val="24"/>
        </w:rPr>
      </w:pPr>
      <w:r w:rsidRPr="001C4557">
        <w:rPr>
          <w:rFonts w:ascii="Arial" w:eastAsia="Times New Roman" w:hAnsi="Arial" w:cs="Arial"/>
          <w:b/>
          <w:bCs/>
          <w:color w:val="00B0F0"/>
          <w:sz w:val="24"/>
          <w:szCs w:val="24"/>
        </w:rPr>
        <w:t>Finance</w:t>
      </w:r>
    </w:p>
    <w:p w14:paraId="62BC2CD2" w14:textId="77777777" w:rsidR="00D34418" w:rsidRPr="00D34418" w:rsidRDefault="00D34418" w:rsidP="00ED7FE3">
      <w:pPr>
        <w:spacing w:after="0" w:line="312" w:lineRule="auto"/>
        <w:rPr>
          <w:rFonts w:ascii="Arial" w:eastAsia="Calibri" w:hAnsi="Arial" w:cs="Arial"/>
          <w:sz w:val="24"/>
          <w:szCs w:val="24"/>
        </w:rPr>
      </w:pPr>
      <w:r w:rsidRPr="00D34418">
        <w:rPr>
          <w:rFonts w:ascii="Arial" w:eastAsia="Calibri" w:hAnsi="Arial" w:cs="Arial"/>
          <w:sz w:val="24"/>
          <w:szCs w:val="24"/>
        </w:rPr>
        <w:t>The Committee has oversight responsibility for the funds administered for the benefit of the United Reformed Church, its long-term financial planning, and the preparation and control of its budget under the authority of General Assembly and the Trustees of the URC Trust.</w:t>
      </w:r>
    </w:p>
    <w:p w14:paraId="68105193" w14:textId="77777777" w:rsidR="00D34418" w:rsidRDefault="00D34418" w:rsidP="00ED7FE3">
      <w:pPr>
        <w:spacing w:after="0" w:line="312" w:lineRule="auto"/>
        <w:rPr>
          <w:rFonts w:ascii="Arial" w:eastAsia="Calibri" w:hAnsi="Arial" w:cs="Arial"/>
          <w:sz w:val="24"/>
          <w:szCs w:val="24"/>
        </w:rPr>
      </w:pPr>
      <w:r w:rsidRPr="00D34418">
        <w:rPr>
          <w:rFonts w:ascii="Arial" w:eastAsia="Calibri" w:hAnsi="Arial" w:cs="Arial"/>
          <w:sz w:val="24"/>
          <w:szCs w:val="24"/>
        </w:rPr>
        <w:t>The committee will ensure that proper procedures are in place for the maintenance of accounting records, controlling, and monitoring the budgetary process and the preparation of financial statements in compliance with applicable UK law and accounting standards.  To this end, the Committee should expect to liaise with the appointed auditors at least once per annum.</w:t>
      </w:r>
    </w:p>
    <w:p w14:paraId="095469BA" w14:textId="77777777" w:rsidR="001C4557" w:rsidRPr="00D34418" w:rsidRDefault="001C4557" w:rsidP="00ED7FE3">
      <w:pPr>
        <w:spacing w:after="0" w:line="312" w:lineRule="auto"/>
        <w:rPr>
          <w:rFonts w:ascii="Arial" w:eastAsia="Calibri" w:hAnsi="Arial" w:cs="Arial"/>
          <w:sz w:val="24"/>
          <w:szCs w:val="24"/>
        </w:rPr>
      </w:pPr>
    </w:p>
    <w:p w14:paraId="551653B6" w14:textId="77777777" w:rsidR="00D34418" w:rsidRDefault="00D34418" w:rsidP="00ED7FE3">
      <w:pPr>
        <w:spacing w:after="0" w:line="312" w:lineRule="auto"/>
        <w:rPr>
          <w:rFonts w:ascii="Arial" w:eastAsia="Calibri" w:hAnsi="Arial" w:cs="Arial"/>
          <w:sz w:val="24"/>
          <w:szCs w:val="24"/>
        </w:rPr>
      </w:pPr>
      <w:r w:rsidRPr="00D34418">
        <w:rPr>
          <w:rFonts w:ascii="Arial" w:eastAsia="Calibri" w:hAnsi="Arial" w:cs="Arial"/>
          <w:sz w:val="24"/>
          <w:szCs w:val="24"/>
        </w:rPr>
        <w:lastRenderedPageBreak/>
        <w:t>The Committee may take such decisions about the finances of the Church as are necessary within the policies set by General Assembly.</w:t>
      </w:r>
    </w:p>
    <w:p w14:paraId="7B18CE24" w14:textId="77777777" w:rsidR="001C4557" w:rsidRPr="00D34418" w:rsidRDefault="001C4557" w:rsidP="00ED7FE3">
      <w:pPr>
        <w:spacing w:after="0" w:line="312" w:lineRule="auto"/>
        <w:rPr>
          <w:rFonts w:ascii="Arial" w:eastAsia="Calibri" w:hAnsi="Arial" w:cs="Arial"/>
          <w:sz w:val="24"/>
          <w:szCs w:val="24"/>
        </w:rPr>
      </w:pPr>
    </w:p>
    <w:p w14:paraId="549648C1" w14:textId="01A925A1" w:rsidR="00D34418" w:rsidRPr="00D34418" w:rsidRDefault="00D34418" w:rsidP="00ED7FE3">
      <w:pPr>
        <w:spacing w:after="0" w:line="312" w:lineRule="auto"/>
        <w:rPr>
          <w:rFonts w:ascii="Arial" w:eastAsia="Calibri" w:hAnsi="Arial" w:cs="Arial"/>
          <w:sz w:val="24"/>
          <w:szCs w:val="24"/>
        </w:rPr>
      </w:pPr>
      <w:r w:rsidRPr="00D34418">
        <w:rPr>
          <w:rFonts w:ascii="Arial" w:eastAsia="Calibri" w:hAnsi="Arial" w:cs="Arial"/>
          <w:sz w:val="24"/>
          <w:szCs w:val="24"/>
        </w:rPr>
        <w:t xml:space="preserve">The Committee will also have detailed budget oversight for the following broad areas: </w:t>
      </w:r>
    </w:p>
    <w:p w14:paraId="2471F393" w14:textId="54FD9D39" w:rsidR="00D34418" w:rsidRPr="00D34418" w:rsidRDefault="00D34418" w:rsidP="00ED7FE3">
      <w:pPr>
        <w:numPr>
          <w:ilvl w:val="0"/>
          <w:numId w:val="1"/>
        </w:numPr>
        <w:spacing w:after="0" w:line="312" w:lineRule="auto"/>
        <w:contextualSpacing/>
        <w:rPr>
          <w:rFonts w:ascii="Arial" w:eastAsia="Calibri" w:hAnsi="Arial" w:cs="Arial"/>
          <w:sz w:val="24"/>
          <w:szCs w:val="24"/>
        </w:rPr>
      </w:pPr>
      <w:r w:rsidRPr="00D34418">
        <w:rPr>
          <w:rFonts w:ascii="Arial" w:eastAsia="Calibri" w:hAnsi="Arial" w:cs="Arial"/>
          <w:sz w:val="24"/>
          <w:szCs w:val="24"/>
        </w:rPr>
        <w:t xml:space="preserve">Administration </w:t>
      </w:r>
      <w:r w:rsidR="001C4557">
        <w:rPr>
          <w:rFonts w:ascii="Arial" w:eastAsia="Calibri" w:hAnsi="Arial" w:cs="Arial"/>
          <w:sz w:val="24"/>
          <w:szCs w:val="24"/>
        </w:rPr>
        <w:t>and</w:t>
      </w:r>
      <w:r w:rsidRPr="00D34418">
        <w:rPr>
          <w:rFonts w:ascii="Arial" w:eastAsia="Calibri" w:hAnsi="Arial" w:cs="Arial"/>
          <w:sz w:val="24"/>
          <w:szCs w:val="24"/>
        </w:rPr>
        <w:t xml:space="preserve"> Resources</w:t>
      </w:r>
      <w:r w:rsidR="001C4557">
        <w:rPr>
          <w:rFonts w:ascii="Arial" w:eastAsia="Calibri" w:hAnsi="Arial" w:cs="Arial"/>
          <w:sz w:val="24"/>
          <w:szCs w:val="24"/>
        </w:rPr>
        <w:t>,</w:t>
      </w:r>
      <w:r w:rsidRPr="00D34418">
        <w:rPr>
          <w:rFonts w:ascii="Arial" w:eastAsia="Calibri" w:hAnsi="Arial" w:cs="Arial"/>
          <w:sz w:val="24"/>
          <w:szCs w:val="24"/>
        </w:rPr>
        <w:t xml:space="preserve"> including Church House</w:t>
      </w:r>
    </w:p>
    <w:p w14:paraId="429A119D" w14:textId="3ADF38FD" w:rsidR="00D34418" w:rsidRPr="00D34418" w:rsidRDefault="00D34418" w:rsidP="00ED7FE3">
      <w:pPr>
        <w:numPr>
          <w:ilvl w:val="0"/>
          <w:numId w:val="1"/>
        </w:numPr>
        <w:spacing w:after="0" w:line="312" w:lineRule="auto"/>
        <w:contextualSpacing/>
        <w:rPr>
          <w:rFonts w:ascii="Arial" w:eastAsia="Calibri" w:hAnsi="Arial" w:cs="Arial"/>
          <w:sz w:val="24"/>
          <w:szCs w:val="24"/>
        </w:rPr>
      </w:pPr>
      <w:r w:rsidRPr="00D34418">
        <w:rPr>
          <w:rFonts w:ascii="Arial" w:eastAsia="Calibri" w:hAnsi="Arial" w:cs="Arial"/>
          <w:sz w:val="24"/>
          <w:szCs w:val="24"/>
        </w:rPr>
        <w:t xml:space="preserve">Central </w:t>
      </w:r>
      <w:r w:rsidR="001C4557">
        <w:rPr>
          <w:rFonts w:ascii="Arial" w:eastAsia="Calibri" w:hAnsi="Arial" w:cs="Arial"/>
          <w:sz w:val="24"/>
          <w:szCs w:val="24"/>
        </w:rPr>
        <w:t>p</w:t>
      </w:r>
      <w:r w:rsidRPr="00D34418">
        <w:rPr>
          <w:rFonts w:ascii="Arial" w:eastAsia="Calibri" w:hAnsi="Arial" w:cs="Arial"/>
          <w:sz w:val="24"/>
          <w:szCs w:val="24"/>
        </w:rPr>
        <w:t>roperties (see below)</w:t>
      </w:r>
    </w:p>
    <w:p w14:paraId="2BA28B41" w14:textId="209A0B31" w:rsidR="00D34418" w:rsidRPr="00D34418" w:rsidRDefault="00D34418" w:rsidP="00ED7FE3">
      <w:pPr>
        <w:numPr>
          <w:ilvl w:val="0"/>
          <w:numId w:val="1"/>
        </w:numPr>
        <w:spacing w:after="0" w:line="312" w:lineRule="auto"/>
        <w:contextualSpacing/>
        <w:rPr>
          <w:rFonts w:ascii="Arial" w:eastAsia="Calibri" w:hAnsi="Arial" w:cs="Arial"/>
          <w:sz w:val="24"/>
          <w:szCs w:val="24"/>
        </w:rPr>
      </w:pPr>
      <w:r w:rsidRPr="00D34418">
        <w:rPr>
          <w:rFonts w:ascii="Arial" w:eastAsia="Calibri" w:hAnsi="Arial" w:cs="Arial"/>
          <w:sz w:val="24"/>
          <w:szCs w:val="24"/>
        </w:rPr>
        <w:t>Communications</w:t>
      </w:r>
      <w:r w:rsidR="001C4557">
        <w:rPr>
          <w:rFonts w:ascii="Arial" w:eastAsia="Calibri" w:hAnsi="Arial" w:cs="Arial"/>
          <w:sz w:val="24"/>
          <w:szCs w:val="24"/>
        </w:rPr>
        <w:t>.</w:t>
      </w:r>
    </w:p>
    <w:p w14:paraId="15C50093" w14:textId="77777777" w:rsidR="00D34418" w:rsidRPr="00D34418" w:rsidRDefault="00D34418" w:rsidP="00D34418">
      <w:pPr>
        <w:spacing w:after="0" w:line="256" w:lineRule="auto"/>
        <w:ind w:left="720"/>
        <w:contextualSpacing/>
        <w:rPr>
          <w:rFonts w:ascii="Arial" w:eastAsia="Calibri" w:hAnsi="Arial" w:cs="Arial"/>
          <w:sz w:val="24"/>
          <w:szCs w:val="24"/>
        </w:rPr>
      </w:pPr>
    </w:p>
    <w:p w14:paraId="41B3D793" w14:textId="77777777" w:rsidR="00D34418" w:rsidRPr="001C4557" w:rsidRDefault="00D34418" w:rsidP="00D34418">
      <w:pPr>
        <w:keepNext/>
        <w:keepLines/>
        <w:spacing w:after="0" w:line="240" w:lineRule="auto"/>
        <w:outlineLvl w:val="2"/>
        <w:rPr>
          <w:rFonts w:ascii="Arial" w:eastAsia="Times New Roman" w:hAnsi="Arial" w:cs="Arial"/>
          <w:b/>
          <w:bCs/>
          <w:color w:val="00B0F0"/>
          <w:sz w:val="24"/>
          <w:szCs w:val="24"/>
        </w:rPr>
      </w:pPr>
      <w:r w:rsidRPr="001C4557">
        <w:rPr>
          <w:rFonts w:ascii="Arial" w:eastAsia="Times New Roman" w:hAnsi="Arial" w:cs="Arial"/>
          <w:b/>
          <w:bCs/>
          <w:color w:val="00B0F0"/>
          <w:sz w:val="24"/>
          <w:szCs w:val="24"/>
        </w:rPr>
        <w:t>Communications</w:t>
      </w:r>
    </w:p>
    <w:p w14:paraId="2B6209E1" w14:textId="45D0DEEE" w:rsidR="00D34418" w:rsidRPr="00D34418" w:rsidRDefault="00D34418" w:rsidP="00ED7FE3">
      <w:pPr>
        <w:keepNext/>
        <w:keepLines/>
        <w:spacing w:after="0" w:line="312" w:lineRule="auto"/>
        <w:outlineLvl w:val="2"/>
        <w:rPr>
          <w:rFonts w:ascii="Arial" w:eastAsia="Times New Roman" w:hAnsi="Arial" w:cs="Arial"/>
          <w:sz w:val="24"/>
          <w:szCs w:val="24"/>
        </w:rPr>
      </w:pPr>
      <w:r w:rsidRPr="00D34418">
        <w:rPr>
          <w:rFonts w:ascii="Arial" w:eastAsia="Times New Roman" w:hAnsi="Arial" w:cs="Arial"/>
          <w:sz w:val="24"/>
          <w:szCs w:val="24"/>
        </w:rPr>
        <w:t>To promote effective communication and celebration of the Gospel in and beyond the URC</w:t>
      </w:r>
      <w:r w:rsidR="001C4557">
        <w:rPr>
          <w:rFonts w:ascii="Arial" w:eastAsia="Times New Roman" w:hAnsi="Arial" w:cs="Arial"/>
          <w:sz w:val="24"/>
          <w:szCs w:val="24"/>
        </w:rPr>
        <w:t>,</w:t>
      </w:r>
      <w:r w:rsidRPr="00D34418">
        <w:rPr>
          <w:rFonts w:ascii="Arial" w:eastAsia="Times New Roman" w:hAnsi="Arial" w:cs="Arial"/>
          <w:sz w:val="24"/>
          <w:szCs w:val="24"/>
        </w:rPr>
        <w:t xml:space="preserve"> the committee will: </w:t>
      </w:r>
    </w:p>
    <w:p w14:paraId="6B21D0A8" w14:textId="695C77AB" w:rsidR="00D34418" w:rsidRPr="00D34418" w:rsidRDefault="00D34418" w:rsidP="00ED7FE3">
      <w:pPr>
        <w:numPr>
          <w:ilvl w:val="0"/>
          <w:numId w:val="2"/>
        </w:numPr>
        <w:spacing w:after="0" w:line="312" w:lineRule="auto"/>
        <w:contextualSpacing/>
        <w:rPr>
          <w:rFonts w:ascii="Arial" w:eastAsia="Calibri" w:hAnsi="Arial" w:cs="Arial"/>
          <w:sz w:val="24"/>
          <w:szCs w:val="24"/>
        </w:rPr>
      </w:pPr>
      <w:r w:rsidRPr="00D34418">
        <w:rPr>
          <w:rFonts w:ascii="Arial" w:eastAsia="Calibri" w:hAnsi="Arial" w:cs="Arial"/>
          <w:sz w:val="24"/>
          <w:szCs w:val="24"/>
        </w:rPr>
        <w:t>Develop and monitor the communication strategy ensuring structures, staffing and appropriate communications channels are in place to give voice to good news, facilitate regional/national communications, support the communications of Church House departments and General Assembly and resources local churches</w:t>
      </w:r>
    </w:p>
    <w:p w14:paraId="0B4EA7A8" w14:textId="503A585B" w:rsidR="00D34418" w:rsidRPr="00D34418" w:rsidRDefault="00D34418" w:rsidP="00ED7FE3">
      <w:pPr>
        <w:numPr>
          <w:ilvl w:val="0"/>
          <w:numId w:val="2"/>
        </w:numPr>
        <w:spacing w:after="0" w:line="312" w:lineRule="auto"/>
        <w:contextualSpacing/>
        <w:rPr>
          <w:rFonts w:ascii="Arial" w:eastAsia="Calibri" w:hAnsi="Arial" w:cs="Arial"/>
          <w:sz w:val="24"/>
          <w:szCs w:val="24"/>
        </w:rPr>
      </w:pPr>
      <w:r w:rsidRPr="00D34418">
        <w:rPr>
          <w:rFonts w:ascii="Arial" w:eastAsia="Calibri" w:hAnsi="Arial" w:cs="Arial"/>
          <w:sz w:val="24"/>
          <w:szCs w:val="24"/>
        </w:rPr>
        <w:t>Develop and monitor the strategy in relation to the Bookshop as a denominational resource and communication tool</w:t>
      </w:r>
    </w:p>
    <w:p w14:paraId="63829DCA" w14:textId="1B67C872" w:rsidR="00D34418" w:rsidRPr="00D34418" w:rsidRDefault="00D34418" w:rsidP="00ED7FE3">
      <w:pPr>
        <w:numPr>
          <w:ilvl w:val="0"/>
          <w:numId w:val="2"/>
        </w:numPr>
        <w:spacing w:after="0" w:line="312" w:lineRule="auto"/>
        <w:contextualSpacing/>
        <w:rPr>
          <w:rFonts w:ascii="Arial" w:eastAsia="Calibri" w:hAnsi="Arial" w:cs="Arial"/>
          <w:sz w:val="24"/>
          <w:szCs w:val="24"/>
        </w:rPr>
      </w:pPr>
      <w:r w:rsidRPr="00D34418">
        <w:rPr>
          <w:rFonts w:ascii="Arial" w:eastAsia="Calibri" w:hAnsi="Arial" w:cs="Arial"/>
          <w:sz w:val="24"/>
          <w:szCs w:val="24"/>
        </w:rPr>
        <w:t>Develop and monitor policies and procedures which relate to the work of the Communications team</w:t>
      </w:r>
    </w:p>
    <w:p w14:paraId="24EC2C58" w14:textId="7574CD5A" w:rsidR="00D34418" w:rsidRPr="00D34418" w:rsidRDefault="00D34418" w:rsidP="00ED7FE3">
      <w:pPr>
        <w:numPr>
          <w:ilvl w:val="0"/>
          <w:numId w:val="2"/>
        </w:numPr>
        <w:spacing w:after="0" w:line="312" w:lineRule="auto"/>
        <w:contextualSpacing/>
        <w:rPr>
          <w:rFonts w:ascii="Arial" w:eastAsia="Calibri" w:hAnsi="Arial" w:cs="Arial"/>
          <w:sz w:val="24"/>
          <w:szCs w:val="24"/>
        </w:rPr>
      </w:pPr>
      <w:r w:rsidRPr="00D34418">
        <w:rPr>
          <w:rFonts w:ascii="Arial" w:eastAsia="Calibri" w:hAnsi="Arial" w:cs="Arial"/>
          <w:sz w:val="24"/>
          <w:szCs w:val="24"/>
        </w:rPr>
        <w:t>Ensure that the work of the Communications team appropriate</w:t>
      </w:r>
      <w:r w:rsidR="003C579F">
        <w:rPr>
          <w:rFonts w:ascii="Arial" w:eastAsia="Calibri" w:hAnsi="Arial" w:cs="Arial"/>
          <w:sz w:val="24"/>
          <w:szCs w:val="24"/>
        </w:rPr>
        <w:t>ly</w:t>
      </w:r>
      <w:r w:rsidRPr="00D34418">
        <w:rPr>
          <w:rFonts w:ascii="Arial" w:eastAsia="Calibri" w:hAnsi="Arial" w:cs="Arial"/>
          <w:sz w:val="24"/>
          <w:szCs w:val="24"/>
        </w:rPr>
        <w:t xml:space="preserve"> supports and resources local churches.</w:t>
      </w:r>
    </w:p>
    <w:p w14:paraId="136DFD45" w14:textId="77777777" w:rsidR="00D34418" w:rsidRPr="00D34418" w:rsidRDefault="00D34418" w:rsidP="00D34418">
      <w:pPr>
        <w:spacing w:after="0" w:line="256" w:lineRule="auto"/>
        <w:ind w:left="720"/>
        <w:contextualSpacing/>
        <w:rPr>
          <w:rFonts w:ascii="Arial" w:eastAsia="Calibri" w:hAnsi="Arial" w:cs="Arial"/>
          <w:sz w:val="24"/>
          <w:szCs w:val="24"/>
        </w:rPr>
      </w:pPr>
    </w:p>
    <w:p w14:paraId="7D99F69C" w14:textId="3BE8CB98" w:rsidR="00D34418" w:rsidRPr="001C4557" w:rsidRDefault="00D34418" w:rsidP="00ED7FE3">
      <w:pPr>
        <w:keepNext/>
        <w:keepLines/>
        <w:spacing w:after="0" w:line="312" w:lineRule="auto"/>
        <w:ind w:left="57"/>
        <w:rPr>
          <w:rFonts w:ascii="Arial" w:eastAsia="Calibri" w:hAnsi="Arial" w:cs="Arial"/>
          <w:b/>
          <w:bCs/>
          <w:color w:val="00B0F0"/>
          <w:sz w:val="24"/>
          <w:szCs w:val="24"/>
        </w:rPr>
      </w:pPr>
      <w:r w:rsidRPr="001C4557">
        <w:rPr>
          <w:rFonts w:ascii="Arial" w:eastAsia="Times New Roman" w:hAnsi="Arial" w:cs="Arial"/>
          <w:b/>
          <w:bCs/>
          <w:color w:val="00B0F0"/>
          <w:sz w:val="24"/>
          <w:szCs w:val="24"/>
        </w:rPr>
        <w:t xml:space="preserve">Central </w:t>
      </w:r>
      <w:r w:rsidR="001C4557" w:rsidRPr="001C4557">
        <w:rPr>
          <w:rFonts w:ascii="Arial" w:eastAsia="Times New Roman" w:hAnsi="Arial" w:cs="Arial"/>
          <w:b/>
          <w:bCs/>
          <w:color w:val="00B0F0"/>
          <w:sz w:val="24"/>
          <w:szCs w:val="24"/>
        </w:rPr>
        <w:t>p</w:t>
      </w:r>
      <w:r w:rsidRPr="001C4557">
        <w:rPr>
          <w:rFonts w:ascii="Arial" w:eastAsia="Times New Roman" w:hAnsi="Arial" w:cs="Arial"/>
          <w:b/>
          <w:bCs/>
          <w:color w:val="00B0F0"/>
          <w:sz w:val="24"/>
          <w:szCs w:val="24"/>
        </w:rPr>
        <w:t xml:space="preserve">roperties </w:t>
      </w:r>
    </w:p>
    <w:p w14:paraId="1696C7DE" w14:textId="77777777" w:rsid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The Committee has delegated authority from the URC Trust to oversee the ‘management’ of all existing central properties, which include Church House (86 Tavistock Place, the tenanted flat (86A Tavistock Place) and all properties owned or rented to house Synod Moderators and General Assembly appointed ministers.</w:t>
      </w:r>
    </w:p>
    <w:p w14:paraId="2144E71E" w14:textId="77777777" w:rsidR="001C4557" w:rsidRPr="00D34418" w:rsidRDefault="001C4557" w:rsidP="00ED7FE3">
      <w:pPr>
        <w:spacing w:after="0" w:line="312" w:lineRule="auto"/>
        <w:ind w:left="57"/>
        <w:rPr>
          <w:rFonts w:ascii="Arial" w:eastAsia="Calibri" w:hAnsi="Arial" w:cs="Arial"/>
          <w:sz w:val="24"/>
          <w:szCs w:val="24"/>
        </w:rPr>
      </w:pPr>
    </w:p>
    <w:p w14:paraId="7E6D0161" w14:textId="6B6327B6" w:rsidR="00ED7FE3"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 xml:space="preserve">‘Management’ means acting in accordance with current policies to oversee: </w:t>
      </w:r>
    </w:p>
    <w:p w14:paraId="43B016C3" w14:textId="77777777" w:rsidR="00ED7FE3" w:rsidRPr="00ED7FE3" w:rsidRDefault="00D34418" w:rsidP="00ED7FE3">
      <w:pPr>
        <w:pStyle w:val="ListParagraph"/>
        <w:numPr>
          <w:ilvl w:val="0"/>
          <w:numId w:val="6"/>
        </w:numPr>
        <w:spacing w:after="0" w:line="312" w:lineRule="auto"/>
        <w:rPr>
          <w:rFonts w:ascii="Arial" w:eastAsia="Calibri" w:hAnsi="Arial" w:cs="Arial"/>
          <w:sz w:val="24"/>
          <w:szCs w:val="24"/>
        </w:rPr>
      </w:pPr>
      <w:r w:rsidRPr="00ED7FE3">
        <w:rPr>
          <w:rFonts w:ascii="Arial" w:eastAsia="Calibri" w:hAnsi="Arial" w:cs="Arial"/>
          <w:sz w:val="24"/>
          <w:szCs w:val="24"/>
        </w:rPr>
        <w:t>Maintenance and all capital expenditure in relation to all properties</w:t>
      </w:r>
    </w:p>
    <w:p w14:paraId="6FC00B35" w14:textId="77777777" w:rsidR="00ED7FE3" w:rsidRPr="00ED7FE3" w:rsidRDefault="00D34418" w:rsidP="00ED7FE3">
      <w:pPr>
        <w:pStyle w:val="ListParagraph"/>
        <w:numPr>
          <w:ilvl w:val="0"/>
          <w:numId w:val="6"/>
        </w:numPr>
        <w:spacing w:after="0" w:line="312" w:lineRule="auto"/>
        <w:rPr>
          <w:rFonts w:ascii="Arial" w:eastAsia="Calibri" w:hAnsi="Arial" w:cs="Arial"/>
          <w:sz w:val="24"/>
          <w:szCs w:val="24"/>
        </w:rPr>
      </w:pPr>
      <w:r w:rsidRPr="00ED7FE3">
        <w:rPr>
          <w:rFonts w:ascii="Arial" w:eastAsia="Calibri" w:hAnsi="Arial" w:cs="Arial"/>
          <w:sz w:val="24"/>
          <w:szCs w:val="24"/>
        </w:rPr>
        <w:t xml:space="preserve">The sale and acquisition of manse accommodation  </w:t>
      </w:r>
    </w:p>
    <w:p w14:paraId="22E3880F" w14:textId="4738F948" w:rsidR="00D34418" w:rsidRPr="00ED7FE3" w:rsidRDefault="00D34418" w:rsidP="00ED7FE3">
      <w:pPr>
        <w:pStyle w:val="ListParagraph"/>
        <w:numPr>
          <w:ilvl w:val="0"/>
          <w:numId w:val="6"/>
        </w:numPr>
        <w:spacing w:after="0" w:line="312" w:lineRule="auto"/>
        <w:rPr>
          <w:rFonts w:ascii="Arial" w:eastAsia="Calibri" w:hAnsi="Arial" w:cs="Arial"/>
          <w:sz w:val="24"/>
          <w:szCs w:val="24"/>
        </w:rPr>
      </w:pPr>
      <w:r w:rsidRPr="00ED7FE3">
        <w:rPr>
          <w:rFonts w:ascii="Arial" w:eastAsia="Calibri" w:hAnsi="Arial" w:cs="Arial"/>
          <w:sz w:val="24"/>
          <w:szCs w:val="24"/>
        </w:rPr>
        <w:t>Overall compliance of the central properties to all policies and legal responsibilities.</w:t>
      </w:r>
    </w:p>
    <w:p w14:paraId="0DE75E86" w14:textId="77777777" w:rsidR="00D34418" w:rsidRPr="00D34418" w:rsidRDefault="00D34418" w:rsidP="00ED7FE3">
      <w:pPr>
        <w:spacing w:after="0" w:line="312" w:lineRule="auto"/>
        <w:ind w:left="57"/>
        <w:rPr>
          <w:rFonts w:ascii="Arial" w:eastAsia="Times New Roman" w:hAnsi="Arial" w:cs="Arial"/>
          <w:color w:val="1F3763"/>
          <w:sz w:val="24"/>
          <w:szCs w:val="24"/>
        </w:rPr>
      </w:pPr>
    </w:p>
    <w:p w14:paraId="00220191" w14:textId="5162AD91" w:rsidR="00D34418" w:rsidRPr="001C4557" w:rsidRDefault="00D34418" w:rsidP="00ED7FE3">
      <w:pPr>
        <w:spacing w:after="0" w:line="312" w:lineRule="auto"/>
        <w:ind w:left="57"/>
        <w:rPr>
          <w:rFonts w:ascii="Arial" w:eastAsia="Times New Roman" w:hAnsi="Arial" w:cs="Arial"/>
          <w:b/>
          <w:bCs/>
          <w:color w:val="00B0F0"/>
          <w:sz w:val="24"/>
          <w:szCs w:val="24"/>
        </w:rPr>
      </w:pPr>
      <w:r w:rsidRPr="001C4557">
        <w:rPr>
          <w:rFonts w:ascii="Arial" w:eastAsia="Times New Roman" w:hAnsi="Arial" w:cs="Arial"/>
          <w:b/>
          <w:bCs/>
          <w:color w:val="00B0F0"/>
          <w:sz w:val="24"/>
          <w:szCs w:val="24"/>
        </w:rPr>
        <w:t xml:space="preserve">Church House </w:t>
      </w:r>
      <w:r w:rsidR="001C4557">
        <w:rPr>
          <w:rFonts w:ascii="Arial" w:eastAsia="Times New Roman" w:hAnsi="Arial" w:cs="Arial"/>
          <w:b/>
          <w:bCs/>
          <w:color w:val="00B0F0"/>
          <w:sz w:val="24"/>
          <w:szCs w:val="24"/>
        </w:rPr>
        <w:t>o</w:t>
      </w:r>
      <w:r w:rsidRPr="001C4557">
        <w:rPr>
          <w:rFonts w:ascii="Arial" w:eastAsia="Times New Roman" w:hAnsi="Arial" w:cs="Arial"/>
          <w:b/>
          <w:bCs/>
          <w:color w:val="00B0F0"/>
          <w:sz w:val="24"/>
          <w:szCs w:val="24"/>
        </w:rPr>
        <w:t xml:space="preserve">perations </w:t>
      </w:r>
      <w:r w:rsidR="001C4557" w:rsidRPr="001C4557">
        <w:rPr>
          <w:rFonts w:ascii="Arial" w:eastAsia="Times New Roman" w:hAnsi="Arial" w:cs="Arial"/>
          <w:b/>
          <w:bCs/>
          <w:color w:val="00B0F0"/>
          <w:sz w:val="24"/>
          <w:szCs w:val="24"/>
        </w:rPr>
        <w:t>and</w:t>
      </w:r>
      <w:r w:rsidRPr="001C4557">
        <w:rPr>
          <w:rFonts w:ascii="Arial" w:eastAsia="Times New Roman" w:hAnsi="Arial" w:cs="Arial"/>
          <w:b/>
          <w:bCs/>
          <w:color w:val="00B0F0"/>
          <w:sz w:val="24"/>
          <w:szCs w:val="24"/>
        </w:rPr>
        <w:t xml:space="preserve"> Human Resources</w:t>
      </w:r>
    </w:p>
    <w:p w14:paraId="33A2C4B5" w14:textId="72766E9B" w:rsidR="00D34418" w:rsidRP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 xml:space="preserve">The Committee has delegated authority from the URC Trust to ensure the development and monitoring of a suite of policies covering all operational and compliance areas, including but not limited to Health </w:t>
      </w:r>
      <w:r w:rsidR="001C4557">
        <w:rPr>
          <w:rFonts w:ascii="Arial" w:eastAsia="Calibri" w:hAnsi="Arial" w:cs="Arial"/>
          <w:sz w:val="24"/>
          <w:szCs w:val="24"/>
        </w:rPr>
        <w:t>and</w:t>
      </w:r>
      <w:r w:rsidRPr="00D34418">
        <w:rPr>
          <w:rFonts w:ascii="Arial" w:eastAsia="Calibri" w:hAnsi="Arial" w:cs="Arial"/>
          <w:sz w:val="24"/>
          <w:szCs w:val="24"/>
        </w:rPr>
        <w:t xml:space="preserve"> Safety, Data Protection, Archiving, IT and </w:t>
      </w:r>
      <w:r w:rsidR="001C4557">
        <w:rPr>
          <w:rFonts w:ascii="Arial" w:eastAsia="Calibri" w:hAnsi="Arial" w:cs="Arial"/>
          <w:sz w:val="24"/>
          <w:szCs w:val="24"/>
        </w:rPr>
        <w:br/>
      </w:r>
      <w:r w:rsidRPr="00D34418">
        <w:rPr>
          <w:rFonts w:ascii="Arial" w:eastAsia="Calibri" w:hAnsi="Arial" w:cs="Arial"/>
          <w:sz w:val="24"/>
          <w:szCs w:val="24"/>
        </w:rPr>
        <w:t>Business Continuity.</w:t>
      </w:r>
    </w:p>
    <w:p w14:paraId="066133F8" w14:textId="447E29EB" w:rsidR="00D34418" w:rsidRP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lastRenderedPageBreak/>
        <w:t>The Committee has delegated authority from the URC Trust in relation to all operational HR matters, including the agreement of HR Policies and Procedures, as they relate to employees. In exercising this authority, the Committee shall:</w:t>
      </w:r>
    </w:p>
    <w:p w14:paraId="5A135548" w14:textId="25D6FF99" w:rsidR="00D34418" w:rsidRPr="00ED7FE3" w:rsidRDefault="00D34418" w:rsidP="00ED7FE3">
      <w:pPr>
        <w:pStyle w:val="ListParagraph"/>
        <w:numPr>
          <w:ilvl w:val="0"/>
          <w:numId w:val="7"/>
        </w:numPr>
        <w:spacing w:after="0" w:line="312" w:lineRule="auto"/>
        <w:rPr>
          <w:rFonts w:ascii="Arial" w:eastAsia="Calibri" w:hAnsi="Arial" w:cs="Arial"/>
          <w:sz w:val="24"/>
          <w:szCs w:val="24"/>
        </w:rPr>
      </w:pPr>
      <w:r w:rsidRPr="00ED7FE3">
        <w:rPr>
          <w:rFonts w:ascii="Arial" w:eastAsia="Calibri" w:hAnsi="Arial" w:cs="Arial"/>
          <w:sz w:val="24"/>
          <w:szCs w:val="24"/>
        </w:rPr>
        <w:t>Develop and monitor the terms and conditions and employment policies/procedures for employed staff to support the culture as well as ensure legal compliance</w:t>
      </w:r>
    </w:p>
    <w:p w14:paraId="32BBA118" w14:textId="44184C60" w:rsidR="00D34418" w:rsidRPr="00ED7FE3" w:rsidRDefault="00D34418" w:rsidP="00ED7FE3">
      <w:pPr>
        <w:pStyle w:val="ListParagraph"/>
        <w:numPr>
          <w:ilvl w:val="0"/>
          <w:numId w:val="7"/>
        </w:numPr>
        <w:spacing w:after="0" w:line="312" w:lineRule="auto"/>
        <w:rPr>
          <w:rFonts w:ascii="Arial" w:eastAsia="Calibri" w:hAnsi="Arial" w:cs="Arial"/>
          <w:sz w:val="24"/>
          <w:szCs w:val="24"/>
        </w:rPr>
      </w:pPr>
      <w:r w:rsidRPr="00ED7FE3">
        <w:rPr>
          <w:rFonts w:ascii="Arial" w:eastAsia="Calibri" w:hAnsi="Arial" w:cs="Arial"/>
          <w:sz w:val="24"/>
          <w:szCs w:val="24"/>
        </w:rPr>
        <w:t>Monitor, review and approve the ongoing staffing strategy including size and makeup of the team, grading/regrading of posts, expertise, career development and succession planning</w:t>
      </w:r>
    </w:p>
    <w:p w14:paraId="631FEBCF" w14:textId="7336D6C3" w:rsidR="00D34418" w:rsidRPr="00ED7FE3" w:rsidRDefault="00D34418" w:rsidP="00ED7FE3">
      <w:pPr>
        <w:pStyle w:val="ListParagraph"/>
        <w:numPr>
          <w:ilvl w:val="0"/>
          <w:numId w:val="7"/>
        </w:numPr>
        <w:spacing w:after="0" w:line="312" w:lineRule="auto"/>
        <w:rPr>
          <w:rFonts w:ascii="Arial" w:eastAsia="Calibri" w:hAnsi="Arial" w:cs="Arial"/>
          <w:sz w:val="24"/>
          <w:szCs w:val="24"/>
        </w:rPr>
      </w:pPr>
      <w:bookmarkStart w:id="0" w:name="_Hlk152241785"/>
      <w:r w:rsidRPr="00ED7FE3">
        <w:rPr>
          <w:rFonts w:ascii="Arial" w:eastAsia="Calibri" w:hAnsi="Arial" w:cs="Arial"/>
          <w:sz w:val="24"/>
          <w:szCs w:val="24"/>
        </w:rPr>
        <w:t>Approve any new job descriptions and resulting appointments referring matters related to salary banding to the Remuneration Committee</w:t>
      </w:r>
    </w:p>
    <w:p w14:paraId="5AA65916" w14:textId="19D9F984" w:rsidR="00D34418" w:rsidRPr="00ED7FE3" w:rsidRDefault="00D34418" w:rsidP="00ED7FE3">
      <w:pPr>
        <w:pStyle w:val="ListParagraph"/>
        <w:numPr>
          <w:ilvl w:val="0"/>
          <w:numId w:val="7"/>
        </w:numPr>
        <w:spacing w:after="0" w:line="312" w:lineRule="auto"/>
        <w:rPr>
          <w:rFonts w:ascii="Arial" w:eastAsia="Calibri" w:hAnsi="Arial" w:cs="Arial"/>
          <w:sz w:val="24"/>
          <w:szCs w:val="24"/>
        </w:rPr>
      </w:pPr>
      <w:r w:rsidRPr="00ED7FE3">
        <w:rPr>
          <w:rFonts w:ascii="Arial" w:eastAsia="Calibri" w:hAnsi="Arial" w:cs="Arial"/>
          <w:sz w:val="24"/>
          <w:szCs w:val="24"/>
        </w:rPr>
        <w:t>Review any proposed major changes to existing job descriptions for employed staff and referring any associated salary change to Remuneration Committee</w:t>
      </w:r>
      <w:bookmarkEnd w:id="0"/>
    </w:p>
    <w:p w14:paraId="3AB4889E" w14:textId="5A460E66" w:rsidR="00D34418" w:rsidRPr="00ED7FE3" w:rsidRDefault="00D34418" w:rsidP="00ED7FE3">
      <w:pPr>
        <w:pStyle w:val="ListParagraph"/>
        <w:numPr>
          <w:ilvl w:val="0"/>
          <w:numId w:val="7"/>
        </w:numPr>
        <w:spacing w:after="0" w:line="312" w:lineRule="auto"/>
        <w:rPr>
          <w:rFonts w:ascii="Arial" w:eastAsia="Calibri" w:hAnsi="Arial" w:cs="Arial"/>
          <w:sz w:val="24"/>
          <w:szCs w:val="24"/>
        </w:rPr>
      </w:pPr>
      <w:r w:rsidRPr="00ED7FE3">
        <w:rPr>
          <w:rFonts w:ascii="Arial" w:eastAsia="Calibri" w:hAnsi="Arial" w:cs="Arial"/>
          <w:sz w:val="24"/>
          <w:szCs w:val="24"/>
        </w:rPr>
        <w:t xml:space="preserve">Agree a course of action with HR staff regarding any dismissal other than those at the end of a </w:t>
      </w:r>
      <w:r w:rsidR="003C579F">
        <w:rPr>
          <w:rFonts w:ascii="Arial" w:eastAsia="Calibri" w:hAnsi="Arial" w:cs="Arial"/>
          <w:sz w:val="24"/>
          <w:szCs w:val="24"/>
        </w:rPr>
        <w:t>fixed-term</w:t>
      </w:r>
      <w:r w:rsidRPr="00ED7FE3">
        <w:rPr>
          <w:rFonts w:ascii="Arial" w:eastAsia="Calibri" w:hAnsi="Arial" w:cs="Arial"/>
          <w:sz w:val="24"/>
          <w:szCs w:val="24"/>
        </w:rPr>
        <w:t xml:space="preserve"> contract or non-confirmation of employment at the end of a probationary period. This would include any decisions on severance arrangements or settlement agreements</w:t>
      </w:r>
    </w:p>
    <w:p w14:paraId="3AE9F741" w14:textId="4CA349E7" w:rsidR="00D34418" w:rsidRPr="00ED7FE3" w:rsidRDefault="00D34418" w:rsidP="00ED7FE3">
      <w:pPr>
        <w:pStyle w:val="ListParagraph"/>
        <w:numPr>
          <w:ilvl w:val="0"/>
          <w:numId w:val="7"/>
        </w:numPr>
        <w:spacing w:after="0" w:line="312" w:lineRule="auto"/>
        <w:rPr>
          <w:rFonts w:ascii="Arial" w:eastAsia="Calibri" w:hAnsi="Arial" w:cs="Arial"/>
          <w:sz w:val="24"/>
          <w:szCs w:val="24"/>
        </w:rPr>
      </w:pPr>
      <w:r w:rsidRPr="00ED7FE3">
        <w:rPr>
          <w:rFonts w:ascii="Arial" w:eastAsia="Calibri" w:hAnsi="Arial" w:cs="Arial"/>
          <w:sz w:val="24"/>
          <w:szCs w:val="24"/>
        </w:rPr>
        <w:t>Determine, within the budget preparations, the annual cost of living rise for lay salaries and stipends based on the recommendation from the Remuneration Committee and the MoM Committee.</w:t>
      </w:r>
      <w:r w:rsidR="001C4557">
        <w:rPr>
          <w:rFonts w:ascii="Arial" w:eastAsia="Calibri" w:hAnsi="Arial" w:cs="Arial"/>
          <w:sz w:val="24"/>
          <w:szCs w:val="24"/>
        </w:rPr>
        <w:br/>
      </w:r>
    </w:p>
    <w:p w14:paraId="3CBF5AFF" w14:textId="2229CD2E" w:rsid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 xml:space="preserve">The Committee shall be responsible for any other related matters which affect the welfare of staff or operational matters in Church House, which may arise from time to time, and for which a formal policy or procedure is required. </w:t>
      </w:r>
    </w:p>
    <w:p w14:paraId="63F91D6F" w14:textId="77777777" w:rsidR="00ED7FE3" w:rsidRPr="00D34418" w:rsidRDefault="00ED7FE3" w:rsidP="00ED7FE3">
      <w:pPr>
        <w:spacing w:after="0" w:line="312" w:lineRule="auto"/>
        <w:ind w:left="57"/>
        <w:rPr>
          <w:rFonts w:ascii="Arial" w:eastAsia="Calibri" w:hAnsi="Arial" w:cs="Arial"/>
          <w:sz w:val="24"/>
          <w:szCs w:val="24"/>
        </w:rPr>
      </w:pPr>
    </w:p>
    <w:p w14:paraId="48B6AD00" w14:textId="0D58942C" w:rsidR="00A638DA" w:rsidRPr="00A638DA" w:rsidRDefault="00D34418" w:rsidP="00A638DA">
      <w:pPr>
        <w:keepNext/>
        <w:keepLines/>
        <w:spacing w:after="0" w:line="312" w:lineRule="auto"/>
        <w:ind w:left="57"/>
        <w:rPr>
          <w:rFonts w:ascii="Arial" w:eastAsia="Calibri" w:hAnsi="Arial" w:cs="Arial"/>
          <w:b/>
          <w:bCs/>
          <w:color w:val="00B0F0"/>
          <w:sz w:val="24"/>
          <w:szCs w:val="24"/>
        </w:rPr>
      </w:pPr>
      <w:r w:rsidRPr="001C4557">
        <w:rPr>
          <w:rFonts w:ascii="Arial" w:eastAsia="Calibri" w:hAnsi="Arial" w:cs="Arial"/>
          <w:b/>
          <w:bCs/>
          <w:color w:val="00B0F0"/>
          <w:sz w:val="28"/>
          <w:szCs w:val="28"/>
        </w:rPr>
        <w:t xml:space="preserve">Risk </w:t>
      </w:r>
      <w:r w:rsidR="001C4557">
        <w:rPr>
          <w:rFonts w:ascii="Arial" w:eastAsia="Calibri" w:hAnsi="Arial" w:cs="Arial"/>
          <w:b/>
          <w:bCs/>
          <w:color w:val="00B0F0"/>
          <w:sz w:val="28"/>
          <w:szCs w:val="28"/>
        </w:rPr>
        <w:t>m</w:t>
      </w:r>
      <w:r w:rsidRPr="001C4557">
        <w:rPr>
          <w:rFonts w:ascii="Arial" w:eastAsia="Calibri" w:hAnsi="Arial" w:cs="Arial"/>
          <w:b/>
          <w:bCs/>
          <w:color w:val="00B0F0"/>
          <w:sz w:val="28"/>
          <w:szCs w:val="28"/>
        </w:rPr>
        <w:t>anagement</w:t>
      </w:r>
      <w:r w:rsidR="00A638DA" w:rsidRPr="00A638DA">
        <w:rPr>
          <w:rFonts w:ascii="Arial" w:eastAsia="Calibri" w:hAnsi="Arial" w:cs="Arial"/>
          <w:b/>
          <w:bCs/>
          <w:color w:val="00B0F0"/>
          <w:sz w:val="24"/>
          <w:szCs w:val="24"/>
        </w:rPr>
        <w:br/>
      </w:r>
    </w:p>
    <w:p w14:paraId="2BD3157D" w14:textId="77777777" w:rsidR="00D34418" w:rsidRPr="00D34418" w:rsidRDefault="00D34418" w:rsidP="00ED7FE3">
      <w:pPr>
        <w:spacing w:after="0" w:line="312" w:lineRule="auto"/>
        <w:ind w:left="57"/>
        <w:rPr>
          <w:rFonts w:ascii="Arial" w:eastAsia="Calibri" w:hAnsi="Arial" w:cs="Arial"/>
          <w:sz w:val="24"/>
          <w:szCs w:val="24"/>
        </w:rPr>
      </w:pPr>
      <w:r w:rsidRPr="00A638DA">
        <w:rPr>
          <w:rFonts w:ascii="Arial" w:eastAsia="Calibri" w:hAnsi="Arial" w:cs="Arial"/>
          <w:sz w:val="24"/>
          <w:szCs w:val="24"/>
        </w:rPr>
        <w:t>The Committee will review the Risk Register</w:t>
      </w:r>
      <w:r w:rsidRPr="00D34418">
        <w:rPr>
          <w:rFonts w:ascii="Arial" w:eastAsia="Calibri" w:hAnsi="Arial" w:cs="Arial"/>
          <w:sz w:val="24"/>
          <w:szCs w:val="24"/>
        </w:rPr>
        <w:t xml:space="preserve"> as it relates to its key responsibilities, at least once per year but will add additional risks as and when they arise.</w:t>
      </w:r>
    </w:p>
    <w:p w14:paraId="5BEC2EFB" w14:textId="77777777" w:rsidR="00D34418" w:rsidRPr="00D34418" w:rsidRDefault="00D34418" w:rsidP="00ED7FE3">
      <w:pPr>
        <w:spacing w:after="0" w:line="312" w:lineRule="auto"/>
        <w:ind w:left="57"/>
        <w:rPr>
          <w:rFonts w:ascii="Arial" w:eastAsia="Calibri" w:hAnsi="Arial" w:cs="Arial"/>
          <w:sz w:val="24"/>
          <w:szCs w:val="24"/>
        </w:rPr>
      </w:pPr>
    </w:p>
    <w:p w14:paraId="05D76680" w14:textId="1A391515" w:rsidR="00B06153" w:rsidRPr="00A638DA" w:rsidRDefault="00D34418" w:rsidP="001C4557">
      <w:pPr>
        <w:keepNext/>
        <w:keepLines/>
        <w:spacing w:after="0" w:line="312" w:lineRule="auto"/>
        <w:ind w:left="57"/>
        <w:rPr>
          <w:rFonts w:ascii="Arial" w:eastAsia="Times New Roman" w:hAnsi="Arial" w:cs="Arial"/>
          <w:b/>
          <w:bCs/>
          <w:color w:val="00B0F0"/>
          <w:sz w:val="24"/>
          <w:szCs w:val="24"/>
        </w:rPr>
      </w:pPr>
      <w:r w:rsidRPr="001C4557">
        <w:rPr>
          <w:rFonts w:ascii="Arial" w:eastAsia="Times New Roman" w:hAnsi="Arial" w:cs="Arial"/>
          <w:b/>
          <w:bCs/>
          <w:color w:val="00B0F0"/>
          <w:sz w:val="28"/>
          <w:szCs w:val="28"/>
        </w:rPr>
        <w:t xml:space="preserve">Conducting </w:t>
      </w:r>
      <w:r w:rsidR="001C4557">
        <w:rPr>
          <w:rFonts w:ascii="Arial" w:eastAsia="Times New Roman" w:hAnsi="Arial" w:cs="Arial"/>
          <w:b/>
          <w:bCs/>
          <w:color w:val="00B0F0"/>
          <w:sz w:val="28"/>
          <w:szCs w:val="28"/>
        </w:rPr>
        <w:t>b</w:t>
      </w:r>
      <w:r w:rsidRPr="001C4557">
        <w:rPr>
          <w:rFonts w:ascii="Arial" w:eastAsia="Times New Roman" w:hAnsi="Arial" w:cs="Arial"/>
          <w:b/>
          <w:bCs/>
          <w:color w:val="00B0F0"/>
          <w:sz w:val="28"/>
          <w:szCs w:val="28"/>
        </w:rPr>
        <w:t>usiness</w:t>
      </w:r>
      <w:r w:rsidR="00A638DA" w:rsidRPr="00A638DA">
        <w:rPr>
          <w:rFonts w:ascii="Arial" w:eastAsia="Times New Roman" w:hAnsi="Arial" w:cs="Arial"/>
          <w:b/>
          <w:bCs/>
          <w:color w:val="00B0F0"/>
          <w:sz w:val="24"/>
          <w:szCs w:val="24"/>
        </w:rPr>
        <w:br/>
      </w:r>
    </w:p>
    <w:p w14:paraId="576A45BA" w14:textId="77777777" w:rsidR="00D34418" w:rsidRPr="00D34418" w:rsidRDefault="00D34418" w:rsidP="00ED7FE3">
      <w:pPr>
        <w:spacing w:after="0" w:line="312" w:lineRule="auto"/>
        <w:ind w:left="57"/>
        <w:rPr>
          <w:rFonts w:ascii="Arial" w:eastAsia="Calibri" w:hAnsi="Arial" w:cs="Arial"/>
          <w:sz w:val="24"/>
          <w:szCs w:val="24"/>
        </w:rPr>
      </w:pPr>
      <w:r w:rsidRPr="00A638DA">
        <w:rPr>
          <w:rFonts w:ascii="Arial" w:eastAsia="Calibri" w:hAnsi="Arial" w:cs="Arial"/>
          <w:sz w:val="24"/>
          <w:szCs w:val="24"/>
        </w:rPr>
        <w:t>Additional meetings can</w:t>
      </w:r>
      <w:r w:rsidRPr="00D34418">
        <w:rPr>
          <w:rFonts w:ascii="Arial" w:eastAsia="Calibri" w:hAnsi="Arial" w:cs="Arial"/>
          <w:sz w:val="24"/>
          <w:szCs w:val="24"/>
        </w:rPr>
        <w:t xml:space="preserve"> be scheduled, with reasonable notice, if business requires it.</w:t>
      </w:r>
    </w:p>
    <w:p w14:paraId="2301E72F" w14:textId="5BFBB819" w:rsid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Decisions can be taken via email with the same rules of quoracy applying. Such decisions will be recorded by the COO and noted at the next meeting with updates on progress as needed.</w:t>
      </w:r>
    </w:p>
    <w:p w14:paraId="5493F787" w14:textId="77777777" w:rsidR="00AE6878" w:rsidRPr="00D34418" w:rsidRDefault="00AE6878" w:rsidP="00ED7FE3">
      <w:pPr>
        <w:spacing w:after="0" w:line="312" w:lineRule="auto"/>
        <w:ind w:left="57"/>
        <w:rPr>
          <w:rFonts w:ascii="Arial" w:eastAsia="Calibri" w:hAnsi="Arial" w:cs="Arial"/>
          <w:sz w:val="24"/>
          <w:szCs w:val="24"/>
        </w:rPr>
      </w:pPr>
    </w:p>
    <w:p w14:paraId="1B0EBE28" w14:textId="77777777" w:rsidR="00D34418" w:rsidRP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Expertise from outside its membership can be utilised for projects and instruct task groups from beyond its membership to develop specific pieces of work. The Committee has the power to seek external professional advice if they deem it necessary with reference to the Chief Operating Officer for unbudgeted professional fees.</w:t>
      </w:r>
    </w:p>
    <w:p w14:paraId="1FA1D455" w14:textId="77777777" w:rsidR="00D34418" w:rsidRPr="00D34418" w:rsidRDefault="00D34418" w:rsidP="00ED7FE3">
      <w:pPr>
        <w:keepNext/>
        <w:keepLines/>
        <w:spacing w:after="0" w:line="312" w:lineRule="auto"/>
        <w:ind w:left="57"/>
        <w:rPr>
          <w:rFonts w:ascii="Arial" w:eastAsia="Times New Roman" w:hAnsi="Arial" w:cs="Arial"/>
          <w:color w:val="2F5496"/>
          <w:sz w:val="24"/>
          <w:szCs w:val="24"/>
        </w:rPr>
      </w:pPr>
      <w:r w:rsidRPr="00D34418">
        <w:rPr>
          <w:rFonts w:ascii="Arial" w:eastAsia="Times New Roman" w:hAnsi="Arial" w:cs="Arial"/>
          <w:sz w:val="24"/>
          <w:szCs w:val="24"/>
        </w:rPr>
        <w:lastRenderedPageBreak/>
        <w:t>The COO shall be responsible for ensuring communication to Church House staff and other relevant parties, of all decisions</w:t>
      </w:r>
      <w:r w:rsidRPr="00D34418">
        <w:rPr>
          <w:rFonts w:ascii="Arial" w:eastAsia="Times New Roman" w:hAnsi="Arial" w:cs="Arial"/>
          <w:color w:val="2F5496"/>
          <w:sz w:val="24"/>
          <w:szCs w:val="24"/>
        </w:rPr>
        <w:t>.</w:t>
      </w:r>
    </w:p>
    <w:p w14:paraId="1E5B8584" w14:textId="77777777" w:rsidR="00D34418" w:rsidRPr="00D34418" w:rsidRDefault="00D34418" w:rsidP="00ED7FE3">
      <w:pPr>
        <w:spacing w:after="0" w:line="312" w:lineRule="auto"/>
        <w:ind w:left="57"/>
        <w:rPr>
          <w:rFonts w:ascii="Arial" w:eastAsia="Calibri" w:hAnsi="Arial" w:cs="Arial"/>
          <w:sz w:val="24"/>
          <w:szCs w:val="24"/>
        </w:rPr>
      </w:pPr>
    </w:p>
    <w:p w14:paraId="381DDB1E" w14:textId="77777777" w:rsidR="00D34418" w:rsidRPr="00D34418" w:rsidRDefault="00D34418" w:rsidP="00ED7FE3">
      <w:pPr>
        <w:spacing w:after="0" w:line="312" w:lineRule="auto"/>
        <w:ind w:left="57"/>
        <w:rPr>
          <w:rFonts w:ascii="Arial" w:eastAsia="Calibri" w:hAnsi="Arial" w:cs="Arial"/>
          <w:sz w:val="24"/>
          <w:szCs w:val="24"/>
        </w:rPr>
      </w:pPr>
      <w:r w:rsidRPr="00D34418">
        <w:rPr>
          <w:rFonts w:ascii="Arial" w:eastAsia="Calibri" w:hAnsi="Arial" w:cs="Arial"/>
          <w:sz w:val="24"/>
          <w:szCs w:val="24"/>
        </w:rPr>
        <w:t>The Committee has discretion to seek input from the wider staff team as deemed necessary.</w:t>
      </w:r>
    </w:p>
    <w:p w14:paraId="42282D7C" w14:textId="1CF6FD51" w:rsidR="00D65DB0" w:rsidRDefault="00D65DB0" w:rsidP="00ED7FE3">
      <w:pPr>
        <w:spacing w:after="0" w:line="312" w:lineRule="auto"/>
        <w:ind w:left="57"/>
      </w:pPr>
    </w:p>
    <w:sectPr w:rsidR="00D65DB0" w:rsidSect="00E706E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C7D32"/>
    <w:multiLevelType w:val="hybridMultilevel"/>
    <w:tmpl w:val="83B40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82E6123"/>
    <w:multiLevelType w:val="hybridMultilevel"/>
    <w:tmpl w:val="7972901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2C004188"/>
    <w:multiLevelType w:val="hybridMultilevel"/>
    <w:tmpl w:val="80B2A8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39EA7461"/>
    <w:multiLevelType w:val="hybridMultilevel"/>
    <w:tmpl w:val="0BEA7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9E1D37"/>
    <w:multiLevelType w:val="hybridMultilevel"/>
    <w:tmpl w:val="01521832"/>
    <w:lvl w:ilvl="0" w:tplc="81B0E43A">
      <w:start w:val="1"/>
      <w:numFmt w:val="bullet"/>
      <w:lvlText w:val=""/>
      <w:lvlJc w:val="left"/>
      <w:pPr>
        <w:ind w:left="360" w:hanging="360"/>
      </w:pPr>
      <w:rPr>
        <w:rFonts w:ascii="Symbol" w:hAnsi="Symbol" w:hint="default"/>
      </w:rPr>
    </w:lvl>
    <w:lvl w:ilvl="1" w:tplc="02B4FA6E">
      <w:start w:val="1"/>
      <w:numFmt w:val="bullet"/>
      <w:lvlText w:val="o"/>
      <w:lvlJc w:val="left"/>
      <w:pPr>
        <w:ind w:left="1080" w:hanging="360"/>
      </w:pPr>
      <w:rPr>
        <w:rFonts w:ascii="Courier New" w:hAnsi="Courier New" w:cs="Times New Roman" w:hint="default"/>
      </w:rPr>
    </w:lvl>
    <w:lvl w:ilvl="2" w:tplc="1556D806">
      <w:start w:val="1"/>
      <w:numFmt w:val="bullet"/>
      <w:lvlText w:val=""/>
      <w:lvlJc w:val="left"/>
      <w:pPr>
        <w:ind w:left="1800" w:hanging="360"/>
      </w:pPr>
      <w:rPr>
        <w:rFonts w:ascii="Wingdings" w:hAnsi="Wingdings" w:hint="default"/>
      </w:rPr>
    </w:lvl>
    <w:lvl w:ilvl="3" w:tplc="192C34F4">
      <w:start w:val="1"/>
      <w:numFmt w:val="bullet"/>
      <w:lvlText w:val=""/>
      <w:lvlJc w:val="left"/>
      <w:pPr>
        <w:ind w:left="2520" w:hanging="360"/>
      </w:pPr>
      <w:rPr>
        <w:rFonts w:ascii="Symbol" w:hAnsi="Symbol" w:hint="default"/>
      </w:rPr>
    </w:lvl>
    <w:lvl w:ilvl="4" w:tplc="E1B22002">
      <w:start w:val="1"/>
      <w:numFmt w:val="bullet"/>
      <w:lvlText w:val="o"/>
      <w:lvlJc w:val="left"/>
      <w:pPr>
        <w:ind w:left="3240" w:hanging="360"/>
      </w:pPr>
      <w:rPr>
        <w:rFonts w:ascii="Courier New" w:hAnsi="Courier New" w:cs="Times New Roman" w:hint="default"/>
      </w:rPr>
    </w:lvl>
    <w:lvl w:ilvl="5" w:tplc="58AC3C9A">
      <w:start w:val="1"/>
      <w:numFmt w:val="bullet"/>
      <w:lvlText w:val=""/>
      <w:lvlJc w:val="left"/>
      <w:pPr>
        <w:ind w:left="3960" w:hanging="360"/>
      </w:pPr>
      <w:rPr>
        <w:rFonts w:ascii="Wingdings" w:hAnsi="Wingdings" w:hint="default"/>
      </w:rPr>
    </w:lvl>
    <w:lvl w:ilvl="6" w:tplc="4A7280B0">
      <w:start w:val="1"/>
      <w:numFmt w:val="bullet"/>
      <w:lvlText w:val=""/>
      <w:lvlJc w:val="left"/>
      <w:pPr>
        <w:ind w:left="4680" w:hanging="360"/>
      </w:pPr>
      <w:rPr>
        <w:rFonts w:ascii="Symbol" w:hAnsi="Symbol" w:hint="default"/>
      </w:rPr>
    </w:lvl>
    <w:lvl w:ilvl="7" w:tplc="88709DE2">
      <w:start w:val="1"/>
      <w:numFmt w:val="bullet"/>
      <w:lvlText w:val="o"/>
      <w:lvlJc w:val="left"/>
      <w:pPr>
        <w:ind w:left="5400" w:hanging="360"/>
      </w:pPr>
      <w:rPr>
        <w:rFonts w:ascii="Courier New" w:hAnsi="Courier New" w:cs="Times New Roman" w:hint="default"/>
      </w:rPr>
    </w:lvl>
    <w:lvl w:ilvl="8" w:tplc="869C89A2">
      <w:start w:val="1"/>
      <w:numFmt w:val="bullet"/>
      <w:lvlText w:val=""/>
      <w:lvlJc w:val="left"/>
      <w:pPr>
        <w:ind w:left="6120" w:hanging="360"/>
      </w:pPr>
      <w:rPr>
        <w:rFonts w:ascii="Wingdings" w:hAnsi="Wingdings" w:hint="default"/>
      </w:rPr>
    </w:lvl>
  </w:abstractNum>
  <w:abstractNum w:abstractNumId="5" w15:restartNumberingAfterBreak="0">
    <w:nsid w:val="5BF5BC4B"/>
    <w:multiLevelType w:val="hybridMultilevel"/>
    <w:tmpl w:val="A9443B78"/>
    <w:lvl w:ilvl="0" w:tplc="DC10CB22">
      <w:start w:val="1"/>
      <w:numFmt w:val="bullet"/>
      <w:lvlText w:val=""/>
      <w:lvlJc w:val="left"/>
      <w:pPr>
        <w:ind w:left="720" w:hanging="360"/>
      </w:pPr>
      <w:rPr>
        <w:rFonts w:ascii="Symbol" w:hAnsi="Symbol" w:hint="default"/>
      </w:rPr>
    </w:lvl>
    <w:lvl w:ilvl="1" w:tplc="64B291D0">
      <w:start w:val="1"/>
      <w:numFmt w:val="bullet"/>
      <w:lvlText w:val="o"/>
      <w:lvlJc w:val="left"/>
      <w:pPr>
        <w:ind w:left="1440" w:hanging="360"/>
      </w:pPr>
      <w:rPr>
        <w:rFonts w:ascii="Courier New" w:hAnsi="Courier New" w:cs="Times New Roman" w:hint="default"/>
      </w:rPr>
    </w:lvl>
    <w:lvl w:ilvl="2" w:tplc="51CA0D30">
      <w:start w:val="1"/>
      <w:numFmt w:val="bullet"/>
      <w:lvlText w:val=""/>
      <w:lvlJc w:val="left"/>
      <w:pPr>
        <w:ind w:left="2160" w:hanging="360"/>
      </w:pPr>
      <w:rPr>
        <w:rFonts w:ascii="Wingdings" w:hAnsi="Wingdings" w:hint="default"/>
      </w:rPr>
    </w:lvl>
    <w:lvl w:ilvl="3" w:tplc="3670B170">
      <w:start w:val="1"/>
      <w:numFmt w:val="bullet"/>
      <w:lvlText w:val=""/>
      <w:lvlJc w:val="left"/>
      <w:pPr>
        <w:ind w:left="2880" w:hanging="360"/>
      </w:pPr>
      <w:rPr>
        <w:rFonts w:ascii="Symbol" w:hAnsi="Symbol" w:hint="default"/>
      </w:rPr>
    </w:lvl>
    <w:lvl w:ilvl="4" w:tplc="A692CFC6">
      <w:start w:val="1"/>
      <w:numFmt w:val="bullet"/>
      <w:lvlText w:val="o"/>
      <w:lvlJc w:val="left"/>
      <w:pPr>
        <w:ind w:left="3600" w:hanging="360"/>
      </w:pPr>
      <w:rPr>
        <w:rFonts w:ascii="Courier New" w:hAnsi="Courier New" w:cs="Times New Roman" w:hint="default"/>
      </w:rPr>
    </w:lvl>
    <w:lvl w:ilvl="5" w:tplc="59F48190">
      <w:start w:val="1"/>
      <w:numFmt w:val="bullet"/>
      <w:lvlText w:val=""/>
      <w:lvlJc w:val="left"/>
      <w:pPr>
        <w:ind w:left="4320" w:hanging="360"/>
      </w:pPr>
      <w:rPr>
        <w:rFonts w:ascii="Wingdings" w:hAnsi="Wingdings" w:hint="default"/>
      </w:rPr>
    </w:lvl>
    <w:lvl w:ilvl="6" w:tplc="FB26AD0C">
      <w:start w:val="1"/>
      <w:numFmt w:val="bullet"/>
      <w:lvlText w:val=""/>
      <w:lvlJc w:val="left"/>
      <w:pPr>
        <w:ind w:left="5040" w:hanging="360"/>
      </w:pPr>
      <w:rPr>
        <w:rFonts w:ascii="Symbol" w:hAnsi="Symbol" w:hint="default"/>
      </w:rPr>
    </w:lvl>
    <w:lvl w:ilvl="7" w:tplc="3CB204E0">
      <w:start w:val="1"/>
      <w:numFmt w:val="bullet"/>
      <w:lvlText w:val="o"/>
      <w:lvlJc w:val="left"/>
      <w:pPr>
        <w:ind w:left="5760" w:hanging="360"/>
      </w:pPr>
      <w:rPr>
        <w:rFonts w:ascii="Courier New" w:hAnsi="Courier New" w:cs="Times New Roman" w:hint="default"/>
      </w:rPr>
    </w:lvl>
    <w:lvl w:ilvl="8" w:tplc="8370CB62">
      <w:start w:val="1"/>
      <w:numFmt w:val="bullet"/>
      <w:lvlText w:val=""/>
      <w:lvlJc w:val="left"/>
      <w:pPr>
        <w:ind w:left="6480" w:hanging="360"/>
      </w:pPr>
      <w:rPr>
        <w:rFonts w:ascii="Wingdings" w:hAnsi="Wingdings" w:hint="default"/>
      </w:rPr>
    </w:lvl>
  </w:abstractNum>
  <w:abstractNum w:abstractNumId="6" w15:restartNumberingAfterBreak="0">
    <w:nsid w:val="66807CD7"/>
    <w:multiLevelType w:val="hybridMultilevel"/>
    <w:tmpl w:val="533CA0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72778854">
    <w:abstractNumId w:val="4"/>
  </w:num>
  <w:num w:numId="2" w16cid:durableId="844445468">
    <w:abstractNumId w:val="1"/>
  </w:num>
  <w:num w:numId="3" w16cid:durableId="951403446">
    <w:abstractNumId w:val="5"/>
  </w:num>
  <w:num w:numId="4" w16cid:durableId="1026636119">
    <w:abstractNumId w:val="2"/>
  </w:num>
  <w:num w:numId="5" w16cid:durableId="2118596576">
    <w:abstractNumId w:val="3"/>
  </w:num>
  <w:num w:numId="6" w16cid:durableId="1894150344">
    <w:abstractNumId w:val="0"/>
  </w:num>
  <w:num w:numId="7" w16cid:durableId="1786653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G0MDUxNzY2tDA0NTRS0lEKTi0uzszPAykwrAUABHi9qSwAAAA="/>
  </w:docVars>
  <w:rsids>
    <w:rsidRoot w:val="00D34418"/>
    <w:rsid w:val="001C4557"/>
    <w:rsid w:val="002E61C5"/>
    <w:rsid w:val="003C579F"/>
    <w:rsid w:val="00A443A5"/>
    <w:rsid w:val="00A638DA"/>
    <w:rsid w:val="00A85D1D"/>
    <w:rsid w:val="00AE6878"/>
    <w:rsid w:val="00B06153"/>
    <w:rsid w:val="00CE746B"/>
    <w:rsid w:val="00D34418"/>
    <w:rsid w:val="00D34A22"/>
    <w:rsid w:val="00D456DB"/>
    <w:rsid w:val="00D65DB0"/>
    <w:rsid w:val="00E706E3"/>
    <w:rsid w:val="00E95A13"/>
    <w:rsid w:val="00ED7F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24720"/>
  <w15:chartTrackingRefBased/>
  <w15:docId w15:val="{CD2462F1-0BEF-41A3-8200-39268EA4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uiPriority w:val="39"/>
    <w:rsid w:val="00D3441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7F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0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4c39d4d-64ec-4058-a805-31ab6c1052fe">
      <Terms xmlns="http://schemas.microsoft.com/office/infopath/2007/PartnerControls"/>
    </lcf76f155ced4ddcb4097134ff3c332f>
    <TaxCatchAll xmlns="37b8247b-92ea-43dd-b6d5-6ded56920b0f" xsi:nil="true"/>
    <SharedWithUsers xmlns="37b8247b-92ea-43dd-b6d5-6ded56920b0f">
      <UserInfo>
        <DisplayName>Samantha Bircham</DisplayName>
        <AccountId>55</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4B357E28AA8C4BA2B526D8E8642675" ma:contentTypeVersion="15" ma:contentTypeDescription="Create a new document." ma:contentTypeScope="" ma:versionID="75a2945ab5bd5d94d1e809006b8de5aa">
  <xsd:schema xmlns:xsd="http://www.w3.org/2001/XMLSchema" xmlns:xs="http://www.w3.org/2001/XMLSchema" xmlns:p="http://schemas.microsoft.com/office/2006/metadata/properties" xmlns:ns2="d4c39d4d-64ec-4058-a805-31ab6c1052fe" xmlns:ns3="37b8247b-92ea-43dd-b6d5-6ded56920b0f" targetNamespace="http://schemas.microsoft.com/office/2006/metadata/properties" ma:root="true" ma:fieldsID="2d34dafd4b918798a53632a84ffa2a4a" ns2:_="" ns3:_="">
    <xsd:import namespace="d4c39d4d-64ec-4058-a805-31ab6c1052fe"/>
    <xsd:import namespace="37b8247b-92ea-43dd-b6d5-6ded56920b0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39d4d-64ec-4058-a805-31ab6c1052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961625-829a-47c7-ab9f-0abdf34e68e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b8247b-92ea-43dd-b6d5-6ded56920b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30ce4832-37d7-48f5-83c2-74819693d64b}" ma:internalName="TaxCatchAll" ma:showField="CatchAllData" ma:web="37b8247b-92ea-43dd-b6d5-6ded56920b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5D00AD-F71A-403B-AFD4-292CD1A99FD7}">
  <ds:schemaRefs>
    <ds:schemaRef ds:uri="http://schemas.microsoft.com/office/2006/metadata/properties"/>
    <ds:schemaRef ds:uri="http://schemas.microsoft.com/office/infopath/2007/PartnerControls"/>
    <ds:schemaRef ds:uri="d4c39d4d-64ec-4058-a805-31ab6c1052fe"/>
    <ds:schemaRef ds:uri="37b8247b-92ea-43dd-b6d5-6ded56920b0f"/>
  </ds:schemaRefs>
</ds:datastoreItem>
</file>

<file path=customXml/itemProps2.xml><?xml version="1.0" encoding="utf-8"?>
<ds:datastoreItem xmlns:ds="http://schemas.openxmlformats.org/officeDocument/2006/customXml" ds:itemID="{E185306F-A298-4F9F-95AC-C08B4E8BAB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39d4d-64ec-4058-a805-31ab6c1052fe"/>
    <ds:schemaRef ds:uri="37b8247b-92ea-43dd-b6d5-6ded56920b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3B4996-34AC-4F53-AC23-B8D8CFDEAC1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1058</Words>
  <Characters>6098</Characters>
  <Application>Microsoft Office Word</Application>
  <DocSecurity>0</DocSecurity>
  <Lines>168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James</dc:creator>
  <cp:keywords/>
  <dc:description/>
  <cp:lastModifiedBy>Neil Hunter</cp:lastModifiedBy>
  <cp:revision>6</cp:revision>
  <dcterms:created xsi:type="dcterms:W3CDTF">2024-03-12T10:51:00Z</dcterms:created>
  <dcterms:modified xsi:type="dcterms:W3CDTF">2024-03-15T14:12:00Z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0x010100E54B357E28AA8C4BA2B526D8E8642675</vt:lpwstr>
  </property>
  <property fmtid="{D5CDD505-2E9C-101B-9397-08002B2CF9AE}" pid="3" name="GrammarlyDocumentId">
    <vt:lpwstr>2a931c1b45b1f04d627475624118353cef2c12aacbcb97d2ea39b938fd442964</vt:lpwstr>
  </property>
</Properties>
</file>